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ДОКУМЕНТЫ НОРМАТИВНЫЕ ДЛЯ ПРОЕКТИРОВАНИЯ, СТРОИТЕЛЬСТВА И ЭКСПЛУАТАЦИИ ОБЪЕКТОВ ОАО «ГАЗПРОМ»</w:t>
      </w:r>
    </w:p>
    <w:p w:rsidR="00000000" w:rsidRDefault="00B53753">
      <w:pPr>
        <w:pBdr>
          <w:bottom w:val="single" w:sz="4" w:space="1" w:color="auto"/>
        </w:pBdr>
        <w:shd w:val="clear" w:color="auto" w:fill="FFFFFF"/>
        <w:spacing w:before="120" w:after="120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ОТКРЫТОЕ АКЦИОНЕРНОЕ ОБЩЕСТВО «ГАЗПРОМ»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СТАНДАРТ ОРГАНИЗАЦИИ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ИНСТРУКЦИЯ</w:t>
      </w:r>
      <w:r>
        <w:rPr>
          <w:b/>
          <w:sz w:val="24"/>
          <w:szCs w:val="28"/>
        </w:rPr>
        <w:br/>
        <w:t>ПО ПРИМЕНЕНИЮ МАГНИТОПОРОШКОВОГО НЕРАЗРУШАЮЩЕГО</w:t>
      </w:r>
      <w:r>
        <w:rPr>
          <w:b/>
          <w:sz w:val="24"/>
          <w:szCs w:val="28"/>
        </w:rPr>
        <w:br/>
      </w:r>
      <w:r>
        <w:rPr>
          <w:b/>
          <w:sz w:val="24"/>
          <w:szCs w:val="28"/>
        </w:rPr>
        <w:t>КОНТРОЛЯ СОСУДОВ, РАБОТАЮЩИХ ПОД ДАВЛЕНИЕМ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СТО Газпром 2-2.3-218-2008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ОТКРЫТОЕ АКЦИОНЕРНОЕ ОБЩЕСТВО «ГАЗПРОМ»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Дочернее открытое акционерное общество «Оргэнергогаз»</w:t>
      </w:r>
    </w:p>
    <w:p w:rsidR="00000000" w:rsidRDefault="00B53753">
      <w:pPr>
        <w:pStyle w:val="a5"/>
      </w:pPr>
      <w:r>
        <w:t>Общество с ограниченной ответственностью</w:t>
      </w:r>
      <w:r>
        <w:rPr>
          <w:lang w:val="en-US"/>
        </w:rPr>
        <w:br/>
      </w:r>
      <w:r>
        <w:t>«Информационно-рекламный центр газовой промышленнос</w:t>
      </w:r>
      <w:r>
        <w:t>ти»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 2008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Предисловие</w:t>
      </w:r>
    </w:p>
    <w:tbl>
      <w:tblPr>
        <w:tblW w:w="5071" w:type="pct"/>
        <w:jc w:val="center"/>
        <w:tblLook w:val="01E0" w:firstRow="1" w:lastRow="1" w:firstColumn="1" w:lastColumn="1" w:noHBand="0" w:noVBand="0"/>
      </w:tblPr>
      <w:tblGrid>
        <w:gridCol w:w="2392"/>
        <w:gridCol w:w="7386"/>
      </w:tblGrid>
      <w:tr w:rsidR="00000000">
        <w:trPr>
          <w:jc w:val="center"/>
        </w:trPr>
        <w:tc>
          <w:tcPr>
            <w:tcW w:w="1223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РАЗРАБОТАН</w:t>
            </w:r>
          </w:p>
        </w:tc>
        <w:tc>
          <w:tcPr>
            <w:tcW w:w="3777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Дочерним открытым акционерным обществом «Оргэнергогаз»</w:t>
            </w:r>
          </w:p>
        </w:tc>
      </w:tr>
      <w:tr w:rsidR="00000000">
        <w:trPr>
          <w:jc w:val="center"/>
        </w:trPr>
        <w:tc>
          <w:tcPr>
            <w:tcW w:w="1223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ВНЕСЕН</w:t>
            </w:r>
          </w:p>
        </w:tc>
        <w:tc>
          <w:tcPr>
            <w:tcW w:w="3777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Департаментом по транспортировке, подземному хранению и использованию газа ОАО «Газпром»</w:t>
            </w:r>
          </w:p>
        </w:tc>
      </w:tr>
      <w:tr w:rsidR="00000000">
        <w:trPr>
          <w:jc w:val="center"/>
        </w:trPr>
        <w:tc>
          <w:tcPr>
            <w:tcW w:w="1223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УТВЕРЖДЕН И ВВЕДЕН В ДЕЙСТВИЕ</w:t>
            </w:r>
          </w:p>
        </w:tc>
        <w:tc>
          <w:tcPr>
            <w:tcW w:w="3777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Распоряжением </w:t>
            </w:r>
            <w:r>
              <w:rPr>
                <w:bCs/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 xml:space="preserve">«Газпром» от 11 июня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4"/>
                  <w:szCs w:val="24"/>
                </w:rPr>
                <w:t>2008 г</w:t>
              </w:r>
            </w:smartTag>
            <w:r>
              <w:rPr>
                <w:sz w:val="24"/>
                <w:szCs w:val="24"/>
              </w:rPr>
              <w:t>. № 161</w:t>
            </w:r>
          </w:p>
        </w:tc>
      </w:tr>
      <w:tr w:rsidR="00000000">
        <w:trPr>
          <w:jc w:val="center"/>
        </w:trPr>
        <w:tc>
          <w:tcPr>
            <w:tcW w:w="1223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ВВЕДЕН ВПЕРВЫЕ</w:t>
            </w:r>
          </w:p>
        </w:tc>
        <w:tc>
          <w:tcPr>
            <w:tcW w:w="3777" w:type="pct"/>
            <w:hideMark/>
          </w:tcPr>
          <w:p w:rsidR="00000000" w:rsidRDefault="00B53753">
            <w:pPr>
              <w:tabs>
                <w:tab w:val="left" w:pos="158"/>
                <w:tab w:val="left" w:pos="3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1"/>
      </w:tblGrid>
      <w:tr w:rsidR="00000000">
        <w:trPr>
          <w:jc w:val="center"/>
        </w:trPr>
        <w:tc>
          <w:tcPr>
            <w:tcW w:w="9857" w:type="dxa"/>
            <w:hideMark/>
          </w:tcPr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TOC \o "1-3" \n \h \z \u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hyperlink w:anchor="_Toc286327359" w:history="1">
              <w:r>
                <w:rPr>
                  <w:rStyle w:val="a3"/>
                  <w:bCs/>
                  <w:sz w:val="24"/>
                  <w:szCs w:val="24"/>
                </w:rPr>
                <w:t>1 Область применения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0" w:history="1">
              <w:r>
                <w:rPr>
                  <w:rStyle w:val="a3"/>
                  <w:noProof/>
                  <w:sz w:val="24"/>
                  <w:szCs w:val="24"/>
                </w:rPr>
                <w:t>2 Нормативные ссылки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1" w:history="1">
              <w:r>
                <w:rPr>
                  <w:rStyle w:val="a3"/>
                  <w:noProof/>
                  <w:sz w:val="24"/>
                  <w:szCs w:val="24"/>
                </w:rPr>
                <w:t>3 Сокращен</w:t>
              </w:r>
              <w:r>
                <w:rPr>
                  <w:rStyle w:val="a3"/>
                  <w:noProof/>
                  <w:sz w:val="24"/>
                  <w:szCs w:val="24"/>
                </w:rPr>
                <w:t>ия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2" w:history="1">
              <w:r>
                <w:rPr>
                  <w:rStyle w:val="a3"/>
                  <w:noProof/>
                  <w:sz w:val="24"/>
                  <w:szCs w:val="24"/>
                </w:rPr>
                <w:t>4 Требования к организациям и персоналу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3" w:history="1">
              <w:r>
                <w:rPr>
                  <w:rStyle w:val="a3"/>
                  <w:noProof/>
                  <w:sz w:val="24"/>
                  <w:szCs w:val="24"/>
                </w:rPr>
                <w:t>5 Порядок проведения неразрушающего контроля сосудов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4" w:history="1">
              <w:r>
                <w:rPr>
                  <w:rStyle w:val="a3"/>
                  <w:noProof/>
                  <w:sz w:val="24"/>
                  <w:szCs w:val="24"/>
                </w:rPr>
                <w:t>6 Магнитопорошковый контроль сосудов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5" w:history="1">
              <w:r>
                <w:rPr>
                  <w:rStyle w:val="a3"/>
                  <w:noProof/>
                  <w:sz w:val="24"/>
                  <w:szCs w:val="24"/>
                </w:rPr>
                <w:t>7 Требования безопасности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6" w:history="1">
              <w:r>
                <w:rPr>
                  <w:rStyle w:val="a3"/>
                  <w:noProof/>
                  <w:sz w:val="24"/>
                  <w:szCs w:val="24"/>
                </w:rPr>
                <w:t>Приложение А (рекомендуемое) Визуальный и измерительный контроль сосудов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7" w:history="1">
              <w:r>
                <w:rPr>
                  <w:rStyle w:val="a3"/>
                  <w:noProof/>
                  <w:sz w:val="24"/>
                  <w:szCs w:val="24"/>
                </w:rPr>
                <w:t>Приложение Б (рекомендуемое) Технология проведени</w:t>
              </w:r>
              <w:r>
                <w:rPr>
                  <w:rStyle w:val="a3"/>
                  <w:noProof/>
                  <w:sz w:val="24"/>
                  <w:szCs w:val="24"/>
                </w:rPr>
                <w:t>я магнитопорошкового контроля сосудов. Расшифровка и анализ результатов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8" w:history="1">
              <w:r>
                <w:rPr>
                  <w:rStyle w:val="a3"/>
                  <w:noProof/>
                  <w:sz w:val="24"/>
                  <w:szCs w:val="24"/>
                </w:rPr>
                <w:t>Приложение В (обязательное) Размерные показатели дефектов для норм оценки качества по результатам неразрушающего контроля основного металла и сварны</w:t>
              </w:r>
              <w:r>
                <w:rPr>
                  <w:rStyle w:val="a3"/>
                  <w:noProof/>
                  <w:sz w:val="24"/>
                  <w:szCs w:val="24"/>
                </w:rPr>
                <w:t>х соединений сосудов</w:t>
              </w:r>
            </w:hyperlink>
          </w:p>
          <w:p w:rsidR="00000000" w:rsidRDefault="00B53753">
            <w:pPr>
              <w:pStyle w:val="11"/>
              <w:tabs>
                <w:tab w:val="right" w:leader="dot" w:pos="9631"/>
              </w:tabs>
              <w:rPr>
                <w:noProof/>
                <w:sz w:val="24"/>
                <w:szCs w:val="24"/>
              </w:rPr>
            </w:pPr>
            <w:hyperlink w:anchor="_Toc286327369" w:history="1">
              <w:r>
                <w:rPr>
                  <w:rStyle w:val="a3"/>
                  <w:noProof/>
                  <w:sz w:val="24"/>
                  <w:szCs w:val="24"/>
                </w:rPr>
                <w:t>Библиография</w:t>
              </w:r>
            </w:hyperlink>
          </w:p>
          <w:p w:rsidR="00000000" w:rsidRDefault="00B5375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> </w:t>
            </w:r>
          </w:p>
        </w:tc>
      </w:tr>
    </w:tbl>
    <w:p w:rsidR="00000000" w:rsidRDefault="00B53753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разработан в рамках Программы научно-исследовательских и опытно-конструкторских работ ОАО «Газпром» </w:t>
      </w:r>
      <w:r>
        <w:rPr>
          <w:sz w:val="24"/>
          <w:szCs w:val="24"/>
        </w:rPr>
        <w:t xml:space="preserve">на 2007 год, утвержденной Председателем Правления ОАО «Газпром» А.Б. Миллером 07 февраля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>. № 01-12, и пункта 4.2 Перечня приоритетных научно-технических проблем ОАО «Газпром» на 2006-2010 годы, утвержденного Председателем Правления ОАО «Газпром» А.Б.</w:t>
      </w:r>
      <w:r>
        <w:rPr>
          <w:sz w:val="24"/>
          <w:szCs w:val="24"/>
        </w:rPr>
        <w:t xml:space="preserve"> Миллером 11 октября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  <w:szCs w:val="24"/>
          </w:rPr>
          <w:t>2005 г</w:t>
        </w:r>
      </w:smartTag>
      <w:r>
        <w:rPr>
          <w:sz w:val="24"/>
          <w:szCs w:val="24"/>
        </w:rPr>
        <w:t>. № 01-106.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устанавливает порядок проведения магнитопорошкового </w:t>
      </w:r>
      <w:r>
        <w:rPr>
          <w:sz w:val="24"/>
          <w:szCs w:val="24"/>
        </w:rPr>
        <w:lastRenderedPageBreak/>
        <w:t>неразрушающего контроля при приемке, эксплуатации и ремонте сосудов, работающих под давлением, эксплуатируемых на компрессорных станциях, дожимных</w:t>
      </w:r>
      <w:r>
        <w:rPr>
          <w:sz w:val="24"/>
          <w:szCs w:val="24"/>
        </w:rPr>
        <w:t xml:space="preserve"> компрессорных станциях и газораспределительных станциях ОАО «Газпром».</w:t>
      </w:r>
    </w:p>
    <w:p w:rsidR="00000000" w:rsidRDefault="00B53753">
      <w:pPr>
        <w:shd w:val="clear" w:color="auto" w:fill="FFFFFF"/>
        <w:spacing w:before="120"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СТО Газпром 2-2.3-218-2008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СТАНДАРТ ОТКРЫТОГО АКЦИОНЕРНОГО ОБЩЕСТВА «ГАЗПРОМ»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1"/>
      </w:tblGrid>
      <w:tr w:rsidR="0000000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53753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ИНСТРУКЦИЯ</w:t>
            </w:r>
            <w:r>
              <w:rPr>
                <w:b/>
                <w:bCs/>
                <w:sz w:val="24"/>
                <w:szCs w:val="24"/>
              </w:rPr>
              <w:br/>
              <w:t>ПО ПРИМЕНЕНИЮ МАГНИТОПОРОШКОВОГО НЕРАЗРУШАЮЩЕГО</w:t>
            </w:r>
            <w:r>
              <w:rPr>
                <w:b/>
                <w:bCs/>
                <w:sz w:val="24"/>
                <w:szCs w:val="24"/>
                <w:lang w:val="en-US"/>
              </w:rPr>
              <w:br/>
            </w:r>
            <w:r>
              <w:rPr>
                <w:b/>
                <w:bCs/>
                <w:sz w:val="24"/>
                <w:szCs w:val="24"/>
              </w:rPr>
              <w:t>КОНТРОЛЯ СОСУДОВ, РАБОТАЮЩИХ ПОД ДАВЛЕНИЕМ</w:t>
            </w:r>
          </w:p>
        </w:tc>
      </w:tr>
    </w:tbl>
    <w:p w:rsidR="00000000" w:rsidRDefault="00B53753">
      <w:pPr>
        <w:shd w:val="clear" w:color="auto" w:fill="FFFFFF"/>
        <w:spacing w:before="120"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Дат</w:t>
      </w:r>
      <w:r>
        <w:rPr>
          <w:b/>
          <w:sz w:val="24"/>
          <w:szCs w:val="24"/>
        </w:rPr>
        <w:t>а введения - 2009-01-22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286327359"/>
      <w:r>
        <w:rPr>
          <w:rFonts w:ascii="Times New Roman" w:eastAsia="Times New Roman" w:hAnsi="Times New Roman" w:cs="Times New Roman"/>
          <w:sz w:val="24"/>
          <w:szCs w:val="24"/>
        </w:rPr>
        <w:t>1 Область применения</w:t>
      </w:r>
      <w:bookmarkEnd w:id="1"/>
    </w:p>
    <w:p w:rsidR="00000000" w:rsidRDefault="00B53753">
      <w:pPr>
        <w:shd w:val="clear" w:color="auto" w:fill="FFFFFF"/>
        <w:tabs>
          <w:tab w:val="left" w:pos="108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1.1 Настоящий стандарт устанавливает порядок проведения магнитопорошкового неразрушающего контроля при приемке, эксплуатации и ремонте сосудов, работающих под давлением (далее - сосуды), применяемых на компрессо</w:t>
      </w:r>
      <w:r>
        <w:rPr>
          <w:sz w:val="24"/>
          <w:szCs w:val="24"/>
        </w:rPr>
        <w:t>рных станциях, дожимных компрессорных станциях и газораспределительных станциях ОАО «Газпром».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1.2 Настоящий стандарт распространяется на сосуды, применяемые на компрессорных станциях, дожимных компрессорных станциях и газораспределительных станциях ОАО «Г</w:t>
      </w:r>
      <w:r>
        <w:rPr>
          <w:sz w:val="24"/>
          <w:szCs w:val="24"/>
        </w:rPr>
        <w:t xml:space="preserve">азпром» и соответствующие требованиям </w:t>
      </w:r>
      <w:hyperlink r:id="rId4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ПБ 03-576-03</w:t>
        </w:r>
      </w:hyperlink>
      <w:r>
        <w:rPr>
          <w:sz w:val="24"/>
          <w:szCs w:val="24"/>
        </w:rPr>
        <w:t xml:space="preserve"> </w:t>
      </w:r>
      <w:hyperlink w:anchor="б_1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[1]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Настоящий стандарт не распространяется, согласно </w:t>
      </w:r>
      <w:hyperlink r:id="rId5" w:tooltip="Газы горючие природные, поставляемые и транспортируемые по магистральным газопроводам. Технические условия" w:history="1">
        <w:r>
          <w:rPr>
            <w:rStyle w:val="a3"/>
            <w:sz w:val="24"/>
            <w:szCs w:val="24"/>
          </w:rPr>
          <w:t>ОСТ 51.40-93</w:t>
        </w:r>
      </w:hyperlink>
      <w:r>
        <w:rPr>
          <w:sz w:val="24"/>
          <w:szCs w:val="24"/>
        </w:rPr>
        <w:t>, на сосуды, работающие с природным газом, содержание сероводорода в котором превышает 0,007 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Настоящий стандарт должен </w:t>
      </w:r>
      <w:r>
        <w:rPr>
          <w:sz w:val="24"/>
          <w:szCs w:val="24"/>
        </w:rPr>
        <w:t xml:space="preserve">использоваться совместно с Временной методикой «Экспертное техническое диагностирование сосудов, работающих под давлением на компрессорных и газораспределительных станциях. Оценка технического состояния и возможности дальнейшей эксплуатации» </w:t>
      </w:r>
      <w:hyperlink w:anchor="б_2" w:tooltip="Временная методика «Экспертное техническое диагностирование сосудов, работающих под давлением на компрессорных и газораспределительных станциях. Оценка технического состояния и возможности дальнейшей эксплуатации» (утверждена О " w:history="1">
        <w:r>
          <w:rPr>
            <w:rStyle w:val="a3"/>
            <w:sz w:val="24"/>
            <w:szCs w:val="24"/>
          </w:rPr>
          <w:t>[2]</w:t>
        </w:r>
      </w:hyperlink>
      <w:r>
        <w:rPr>
          <w:sz w:val="24"/>
          <w:szCs w:val="24"/>
        </w:rPr>
        <w:t>, и п</w:t>
      </w:r>
      <w:r>
        <w:rPr>
          <w:sz w:val="24"/>
          <w:szCs w:val="24"/>
        </w:rPr>
        <w:t>редназначен для специалистов, проводящих измерения приборами и средствами неразрушающего контроля.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2" w:name="_Toc286327360"/>
      <w:r>
        <w:rPr>
          <w:rFonts w:ascii="Times New Roman" w:eastAsia="Times New Roman" w:hAnsi="Times New Roman"/>
          <w:sz w:val="24"/>
          <w:szCs w:val="24"/>
        </w:rPr>
        <w:t>2 Нормативные ссылки</w:t>
      </w:r>
      <w:bookmarkEnd w:id="2"/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использованы нормативные ссылки на следующие стандарты: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6" w:tooltip="Прокат листовой из углеродистой, низколегированной и легированной стали для котлов и сосудов, работающих под давлением. Технические условия" w:history="1">
        <w:r>
          <w:rPr>
            <w:rStyle w:val="a3"/>
            <w:sz w:val="24"/>
            <w:szCs w:val="24"/>
          </w:rPr>
          <w:t>ГОСТ 5520-79</w:t>
        </w:r>
      </w:hyperlink>
      <w:r>
        <w:rPr>
          <w:sz w:val="24"/>
          <w:szCs w:val="24"/>
        </w:rPr>
        <w:t xml:space="preserve"> Прокат листовой из углеродистой, низколегированной и легированной стали для котлов и сосудов, работающих под давлением. Технические</w:t>
      </w:r>
      <w:r>
        <w:rPr>
          <w:sz w:val="24"/>
          <w:szCs w:val="24"/>
        </w:rPr>
        <w:t xml:space="preserve"> условия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7" w:tooltip="Образцы шероховатости поверхности (сравнения). Общие технические условия" w:history="1">
        <w:r>
          <w:rPr>
            <w:rStyle w:val="a3"/>
            <w:sz w:val="24"/>
            <w:szCs w:val="24"/>
          </w:rPr>
          <w:t>ГОСТ 9378-93</w:t>
        </w:r>
      </w:hyperlink>
      <w:r>
        <w:rPr>
          <w:sz w:val="24"/>
          <w:szCs w:val="24"/>
        </w:rPr>
        <w:t xml:space="preserve"> (ИСО 2632-1-85, ИСО 2632-2-85) Образцы шероховатости поверхности (сравнения). Общие технические условия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8" w:tooltip="Контроль неразрушающий. Магнитопорошковый метод" w:history="1">
        <w:r>
          <w:rPr>
            <w:rStyle w:val="a3"/>
            <w:sz w:val="24"/>
            <w:szCs w:val="24"/>
          </w:rPr>
          <w:t>ГОСТ 21105-87</w:t>
        </w:r>
      </w:hyperlink>
      <w:r>
        <w:rPr>
          <w:sz w:val="24"/>
          <w:szCs w:val="24"/>
        </w:rPr>
        <w:t xml:space="preserve"> Контроль неразрушающий. Магнитопорошковый метод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9" w:tooltip="Контроль неразрушающий. Методы оптического вида. Общие требования" w:history="1">
        <w:r>
          <w:rPr>
            <w:rStyle w:val="a3"/>
            <w:sz w:val="24"/>
            <w:szCs w:val="24"/>
          </w:rPr>
          <w:t>ГОСТ 23479-79</w:t>
        </w:r>
      </w:hyperlink>
      <w:r>
        <w:rPr>
          <w:sz w:val="24"/>
          <w:szCs w:val="24"/>
        </w:rPr>
        <w:t xml:space="preserve"> Контроль неразрушающий. Методы о</w:t>
      </w:r>
      <w:r>
        <w:rPr>
          <w:sz w:val="24"/>
          <w:szCs w:val="24"/>
        </w:rPr>
        <w:t>птического вида. Общие требования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10" w:tooltip="Сосуды и аппараты стальные сварные. Общие технические условия" w:history="1">
        <w:r>
          <w:rPr>
            <w:rStyle w:val="a3"/>
            <w:sz w:val="24"/>
            <w:szCs w:val="24"/>
          </w:rPr>
          <w:t>ОСТ 26 291-94</w:t>
        </w:r>
      </w:hyperlink>
      <w:r>
        <w:rPr>
          <w:sz w:val="24"/>
          <w:szCs w:val="24"/>
        </w:rPr>
        <w:t xml:space="preserve"> Сосуды и аппараты стальные сварные. Общие технические условия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11" w:tooltip="Газы горючие природные, поставляемые и транспортируемые по магистральным газопроводам. Технические условия" w:history="1">
        <w:r>
          <w:rPr>
            <w:rStyle w:val="a3"/>
            <w:sz w:val="24"/>
            <w:szCs w:val="24"/>
          </w:rPr>
          <w:t>ОСТ 51.40-93</w:t>
        </w:r>
      </w:hyperlink>
      <w:r>
        <w:rPr>
          <w:sz w:val="24"/>
          <w:szCs w:val="24"/>
        </w:rPr>
        <w:t xml:space="preserve"> Газы горючие природные, поставляемые и транспортируемые по магистральным газопроводам. Технические условия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hyperlink r:id="rId12" w:tooltip="Инструкция по неразрушающим методам контроля качества сварных соединений при строительстве и ремонте промысловых и магистральных газопроводов" w:history="1">
        <w:r>
          <w:rPr>
            <w:rStyle w:val="a3"/>
            <w:sz w:val="24"/>
            <w:szCs w:val="24"/>
          </w:rPr>
          <w:t>СТО Газпром 2-2.4-083-2006</w:t>
        </w:r>
      </w:hyperlink>
      <w:r>
        <w:rPr>
          <w:sz w:val="24"/>
          <w:szCs w:val="24"/>
        </w:rPr>
        <w:t xml:space="preserve"> Инструкция по неразрушающим методам контроля качества сварных соединений при строительстве и ремонте промысло</w:t>
      </w:r>
      <w:r>
        <w:rPr>
          <w:sz w:val="24"/>
          <w:szCs w:val="24"/>
        </w:rPr>
        <w:t>вых и магистральных газопроводов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</w:pPr>
      <w:r>
        <w:rPr>
          <w:spacing w:val="40"/>
        </w:rPr>
        <w:t>Примечание</w:t>
      </w:r>
      <w:r>
        <w:t xml:space="preserve"> - При пользовании настоящим стандартом целесообразно проверить действие ссылочных стандартов по соответствующим указателям, составленным на 1 января текущего года, и информационным указателям, опубликованным в те</w:t>
      </w:r>
      <w:r>
        <w:t>кущем году,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</w:t>
      </w:r>
      <w:r>
        <w:t>я в части, не затрагивающей эту ссылку.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_Toc286327361"/>
      <w:r>
        <w:rPr>
          <w:rFonts w:ascii="Times New Roman" w:eastAsia="Times New Roman" w:hAnsi="Times New Roman"/>
          <w:bCs w:val="0"/>
          <w:sz w:val="24"/>
          <w:szCs w:val="24"/>
        </w:rPr>
        <w:t>3 Сокращения</w:t>
      </w:r>
      <w:bookmarkEnd w:id="3"/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настоящем стандарте применяются следующие сокращения: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ВИК - визуальный и измерительный контроль;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ГРС - газораспределительная станция;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ДКС - дожимная компрессорная станция;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КС - компрессорная станция;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>К - неразрушающий контроль;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МПК - магнитопорошковый контроль;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СОП - стандартный образец предприятия.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4" w:name="_Toc286327362"/>
      <w:r>
        <w:rPr>
          <w:rFonts w:ascii="Times New Roman" w:eastAsia="Times New Roman" w:hAnsi="Times New Roman"/>
          <w:bCs w:val="0"/>
          <w:sz w:val="24"/>
          <w:szCs w:val="24"/>
        </w:rPr>
        <w:t>4 Требования к организациям и персоналу</w:t>
      </w:r>
      <w:bookmarkEnd w:id="4"/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4.1 Организации, проводящие НК, должны иметь в своем составе лабораторию НК.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Лаборатория НК должна </w:t>
      </w:r>
      <w:r>
        <w:rPr>
          <w:sz w:val="24"/>
          <w:szCs w:val="24"/>
        </w:rPr>
        <w:t xml:space="preserve">иметь свидетельство об аттестации, выданное независимым органом по аттестации лабораторий НК, уполномоченным в рамках системы экспертизы промышленной безопасности проводить аттестацию лабораторий НК в соответствии </w:t>
      </w:r>
      <w:hyperlink r:id="rId13" w:tooltip="'Правила аттестации и основные требования к лабораториям неразрушающего контроля" w:history="1">
        <w:r>
          <w:rPr>
            <w:rStyle w:val="a3"/>
            <w:sz w:val="24"/>
            <w:szCs w:val="24"/>
          </w:rPr>
          <w:t>ПБ 03-372-00</w:t>
        </w:r>
      </w:hyperlink>
      <w:r>
        <w:rPr>
          <w:sz w:val="24"/>
          <w:szCs w:val="24"/>
        </w:rPr>
        <w:t xml:space="preserve"> </w:t>
      </w:r>
      <w:hyperlink w:anchor="б_3" w:tooltip="'Правила аттестации и основные требования к лабораториям неразрушающего контроля" w:history="1">
        <w:r>
          <w:rPr>
            <w:rStyle w:val="a3"/>
            <w:sz w:val="24"/>
            <w:szCs w:val="24"/>
          </w:rPr>
          <w:t>[3]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4.3 Специалисты, осуществляющие МПК, должны быть аттестов</w:t>
      </w:r>
      <w:r>
        <w:rPr>
          <w:sz w:val="24"/>
          <w:szCs w:val="24"/>
        </w:rPr>
        <w:t xml:space="preserve">аны согласно требованиям </w:t>
      </w:r>
      <w:hyperlink r:id="rId14" w:tooltip="Правила аттестации персонала в области неразрушающего контроля" w:history="1">
        <w:r>
          <w:rPr>
            <w:rStyle w:val="a3"/>
            <w:sz w:val="24"/>
            <w:szCs w:val="24"/>
          </w:rPr>
          <w:t>ПБ 03-440-02</w:t>
        </w:r>
      </w:hyperlink>
      <w:r>
        <w:rPr>
          <w:sz w:val="24"/>
          <w:szCs w:val="24"/>
        </w:rPr>
        <w:t xml:space="preserve"> </w:t>
      </w:r>
      <w:hyperlink w:anchor="б_4" w:tooltip="Правила аттестации персонала в области неразрушающего контроля" w:history="1">
        <w:r>
          <w:rPr>
            <w:rStyle w:val="a3"/>
            <w:sz w:val="24"/>
            <w:szCs w:val="24"/>
          </w:rPr>
          <w:t>[4]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К проведению контроля неразрушающими методами в соответствии с настоящим стандартом допускаются специалисты, имеющие квалификационные удостоверения по визуально-измерительному и магнитному методам контроля, выданные независимым органом аттестации персонала</w:t>
      </w:r>
      <w:r>
        <w:rPr>
          <w:sz w:val="24"/>
          <w:szCs w:val="24"/>
        </w:rPr>
        <w:t xml:space="preserve"> системы НК, а также удостоверение о проверке знаний правил безопасности при контроле объектов Ростехнадзора.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5" w:name="_Toc286327363"/>
      <w:r>
        <w:rPr>
          <w:rFonts w:ascii="Times New Roman" w:eastAsia="Times New Roman" w:hAnsi="Times New Roman"/>
          <w:sz w:val="24"/>
          <w:szCs w:val="24"/>
        </w:rPr>
        <w:t>5 Порядок проведения неразрушающего контроля сосудов</w:t>
      </w:r>
      <w:bookmarkEnd w:id="5"/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5.1 Наименование и объемы работ по НК сосудов приведены в таблице 1.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1 - Наименование</w:t>
      </w:r>
      <w:r>
        <w:rPr>
          <w:sz w:val="24"/>
          <w:szCs w:val="24"/>
        </w:rPr>
        <w:t xml:space="preserve"> и объемы работ по НК сосудов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7"/>
        <w:gridCol w:w="2292"/>
        <w:gridCol w:w="3275"/>
        <w:gridCol w:w="1040"/>
        <w:gridCol w:w="2017"/>
      </w:tblGrid>
      <w:tr w:rsidR="00000000">
        <w:trPr>
          <w:jc w:val="center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Метод контроля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Наименование работ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Зона контроля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Объем контроля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Примечание</w:t>
            </w:r>
          </w:p>
        </w:tc>
      </w:tr>
      <w:tr w:rsidR="00000000">
        <w:trPr>
          <w:jc w:val="center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МПК, ВИК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</w:pPr>
            <w:r>
              <w:t>Контроль поверхности основного металла, околошовных зон и сварных соединений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pStyle w:val="a7"/>
            </w:pPr>
            <w:r>
              <w:t>а) основной металл элементов сосуда;</w:t>
            </w:r>
          </w:p>
          <w:p w:rsidR="00000000" w:rsidRDefault="00B53753">
            <w:pPr>
              <w:shd w:val="clear" w:color="auto" w:fill="FFFFFF"/>
              <w:tabs>
                <w:tab w:val="left" w:pos="317"/>
              </w:tabs>
              <w:ind w:firstLine="284"/>
              <w:jc w:val="both"/>
            </w:pPr>
            <w:r>
              <w:t>б) угловые, нахлесточные и стыковые сварные соединения;</w:t>
            </w:r>
          </w:p>
          <w:p w:rsidR="00000000" w:rsidRDefault="00B53753">
            <w:pPr>
              <w:shd w:val="clear" w:color="auto" w:fill="FFFFFF"/>
              <w:tabs>
                <w:tab w:val="left" w:pos="317"/>
              </w:tabs>
              <w:ind w:firstLine="284"/>
              <w:jc w:val="both"/>
            </w:pPr>
            <w:r>
              <w:t>в) околошовная зона сварных соединений.</w:t>
            </w:r>
          </w:p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Сварные швы и околошовные зоны сварных соединений корпуса с патрубками штуцеров входа и выхода продукта, горловинами люков, дренажными патрубками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%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Основной</w:t>
            </w:r>
            <w:r>
              <w:t xml:space="preserve"> металл элементов сосуда, стыковые сварные соединения и околошовные зоны стыковых сварных соединений контролируются в местах обнаружения дефектов по результатам ВИК</w:t>
            </w:r>
          </w:p>
        </w:tc>
      </w:tr>
    </w:tbl>
    <w:p w:rsidR="00000000" w:rsidRDefault="00B53753">
      <w:pPr>
        <w:shd w:val="clear" w:color="auto" w:fill="FFFFFF"/>
        <w:tabs>
          <w:tab w:val="left" w:pos="0"/>
        </w:tabs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5.2 Для уточнения технических параметров НК производится анализ данных паспорта (сертифика</w:t>
      </w:r>
      <w:r>
        <w:rPr>
          <w:sz w:val="24"/>
          <w:szCs w:val="24"/>
        </w:rPr>
        <w:t>та качества) на сосуд, применяемый на КС, ДКС или ГРС ОАО «Газпром».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5.3 Зоны контроля, с указанием размеров, должны быть изображены на карте контроля с привязкой их местоположения к ближайшим элементам сосуда или сварным швам (пример показан на рисунке 1)</w:t>
      </w:r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Перед проведением МПК необходимо произвести ВИК основного металла и сварных соединений сосудов с целью выявления видимых поверхностных трещин, прокатных плен, закатов, забоин, рисок, подрезов и других несплошностей. Выявленные дефекты на поверхности </w:t>
      </w:r>
      <w:r>
        <w:rPr>
          <w:sz w:val="24"/>
          <w:szCs w:val="24"/>
        </w:rPr>
        <w:t>сосуда отмечаются маркером для последующего их контроля магнитопорошковым методом. При этом особое внимание уделяется околошовным зонам нахлесточных и угловых сварных соединений.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 Технология проведения ВИК приведена в </w:t>
      </w:r>
      <w:hyperlink w:anchor="_Приложение_А_(рекомендуемое)" w:tooltip="Приложение А (рекомендуемое)Визуальный и измерительный контроль сосудов" w:history="1">
        <w:r>
          <w:rPr>
            <w:rStyle w:val="a3"/>
            <w:sz w:val="24"/>
            <w:szCs w:val="24"/>
          </w:rPr>
          <w:t>приложении А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111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5.6 МПК основного металла и сварных соединений сосуда выполняется с целью выявления поверхностных и подповерхностных дефектов типа трещин, прокатных</w:t>
      </w:r>
      <w:r>
        <w:rPr>
          <w:sz w:val="24"/>
          <w:szCs w:val="24"/>
        </w:rPr>
        <w:t xml:space="preserve"> плен и закатов, а также для дублирования (подтверждения) несплошностей, выявленных другими методами НК.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251960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 t="7574" r="1572" b="3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pStyle w:val="2"/>
      </w:pPr>
      <w:r>
        <w:t>А - вход газа; Б - выход газа; В - дренаж; Г - выход конденсата; Н - люк; К1-К4 - кольцевые сварных швы; Ш-ПЗ - продольные сварные швы</w:t>
      </w:r>
    </w:p>
    <w:p w:rsidR="00000000" w:rsidRDefault="00B5375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45080" cy="647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pStyle w:val="2"/>
        <w:spacing w:before="0" w:after="120"/>
      </w:pPr>
      <w:r>
        <w:t>Рисунок 1 - Пример оформления эскиза и карты контроля (пылеуловитель ГП 144)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5.7 Контролю магнитопорошковым методом подлежат: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сварные швы и околошовные зоны сварных соединений корпуса сосуда с патрубками штуцеров входа/выхода прир</w:t>
      </w:r>
      <w:r>
        <w:rPr>
          <w:sz w:val="24"/>
          <w:szCs w:val="24"/>
        </w:rPr>
        <w:t>одного газа;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сварные швы и околошовные зоны сварных соединений корпуса сосуда с горловинами люков;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сварные швы и околошовные зоны сварных соединений корпуса сосуда с дренажными патрубками.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6" w:name="_Toc286327364"/>
      <w:r>
        <w:rPr>
          <w:rFonts w:ascii="Times New Roman" w:eastAsia="Times New Roman" w:hAnsi="Times New Roman"/>
          <w:bCs w:val="0"/>
          <w:sz w:val="24"/>
          <w:szCs w:val="24"/>
        </w:rPr>
        <w:t>6 Магнитопорошковый контроль сосудов</w:t>
      </w:r>
      <w:bookmarkEnd w:id="6"/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6.1 Средства МПК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6.1.1 При</w:t>
      </w:r>
      <w:r>
        <w:rPr>
          <w:sz w:val="24"/>
          <w:szCs w:val="24"/>
        </w:rPr>
        <w:t xml:space="preserve"> МПК следует применять:</w:t>
      </w:r>
    </w:p>
    <w:p w:rsidR="00000000" w:rsidRDefault="00B53753">
      <w:pPr>
        <w:shd w:val="clear" w:color="auto" w:fill="FFFFFF"/>
        <w:tabs>
          <w:tab w:val="left" w:pos="80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намагничивающее устройство (например, дефектоскоп);</w:t>
      </w:r>
    </w:p>
    <w:p w:rsidR="00000000" w:rsidRDefault="00B53753">
      <w:pPr>
        <w:shd w:val="clear" w:color="auto" w:fill="FFFFFF"/>
        <w:tabs>
          <w:tab w:val="left" w:pos="80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магнитный индикатор в виде магнитного порошка или суспензии;</w:t>
      </w:r>
    </w:p>
    <w:p w:rsidR="00000000" w:rsidRDefault="00B53753">
      <w:pPr>
        <w:shd w:val="clear" w:color="auto" w:fill="FFFFFF"/>
        <w:tabs>
          <w:tab w:val="left" w:pos="80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белую фоновую контрастную краску;</w:t>
      </w:r>
    </w:p>
    <w:p w:rsidR="00000000" w:rsidRDefault="00B53753">
      <w:pPr>
        <w:shd w:val="clear" w:color="auto" w:fill="FFFFFF"/>
        <w:tabs>
          <w:tab w:val="left" w:pos="811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устройства для осмотра контролируемой поверхности (лупа с подсветкой или без </w:t>
      </w:r>
      <w:r>
        <w:rPr>
          <w:sz w:val="24"/>
          <w:szCs w:val="24"/>
        </w:rPr>
        <w:t>нее) с четырех- или десятикратным увеличением, дополнительные осветительные устройства).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6.1.2 Проверку работоспособности дефектоскопов и качества дефектоскопических материалов осуществляют при помощи </w:t>
      </w:r>
      <w:r>
        <w:rPr>
          <w:sz w:val="24"/>
          <w:szCs w:val="24"/>
        </w:rPr>
        <w:t>или контрольного эталона (например, эталон Бертольда), или СОП, специально изготовленных или отобранных из числа забракованных изделий с дефектами, размеры которых соответствуют принятому уровню чувствительности.</w:t>
      </w:r>
    </w:p>
    <w:p w:rsidR="00000000" w:rsidRDefault="00B53753">
      <w:pPr>
        <w:shd w:val="clear" w:color="auto" w:fill="FFFFFF"/>
        <w:tabs>
          <w:tab w:val="left" w:pos="1080"/>
        </w:tabs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>
        <w:rPr>
          <w:b/>
          <w:bCs/>
          <w:sz w:val="24"/>
          <w:szCs w:val="24"/>
        </w:rPr>
        <w:t>Подготовка к контролю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6.2.1 Перед прове</w:t>
      </w:r>
      <w:r>
        <w:rPr>
          <w:sz w:val="24"/>
          <w:szCs w:val="24"/>
        </w:rPr>
        <w:t>дением МПК с подлежащих контролю участков поверхности сосуда должны быть удалены защитное покрытие, а также следы коррозии, смазки и влаги. Царапины, риски, места резкого перехода поверхностей и грубая чешуйчатость сварных швов, на которых возможно осажден</w:t>
      </w:r>
      <w:r>
        <w:rPr>
          <w:sz w:val="24"/>
          <w:szCs w:val="24"/>
        </w:rPr>
        <w:t xml:space="preserve">ие порошка при проведении контроля, зашлифовываются. В соответствии с </w:t>
      </w:r>
      <w:hyperlink r:id="rId17" w:tooltip="Контроль неразрушающий. Магнитопорошковый метод" w:history="1">
        <w:r>
          <w:rPr>
            <w:rStyle w:val="a3"/>
            <w:sz w:val="24"/>
            <w:szCs w:val="24"/>
          </w:rPr>
          <w:t>ГОСТ 21105</w:t>
        </w:r>
      </w:hyperlink>
      <w:r>
        <w:rPr>
          <w:sz w:val="24"/>
          <w:szCs w:val="24"/>
        </w:rPr>
        <w:t xml:space="preserve"> контролируемая поверхность металла должна быть зачищена и иметь параметр шероховатости не более </w:t>
      </w:r>
      <w:r>
        <w:rPr>
          <w:i/>
          <w:sz w:val="24"/>
          <w:szCs w:val="24"/>
          <w:lang w:val="en-US"/>
        </w:rPr>
        <w:t>R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10.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6.2.2 Для получения более контрастного индикаторного рисунка на контролируемую поверхность после ее зачистки рекомендуется нанести слой быстросохнущей белой контрастной краски. Краска наносится полупрозрачным слоем, при котором контролируемая поверхн</w:t>
      </w:r>
      <w:r>
        <w:rPr>
          <w:sz w:val="24"/>
          <w:szCs w:val="24"/>
        </w:rPr>
        <w:t xml:space="preserve">ость еще остается видимой. После нанесения контрастный слой должен полностью </w:t>
      </w:r>
      <w:r>
        <w:rPr>
          <w:sz w:val="24"/>
          <w:szCs w:val="24"/>
        </w:rPr>
        <w:lastRenderedPageBreak/>
        <w:t>высохнуть.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6.2.3 В качестве магнитного индикатора рекомендуется использовать магнитные суспензии, в состав которых входят магнитный порошок (концентрат) и дисперсионная среда (вод</w:t>
      </w:r>
      <w:r>
        <w:rPr>
          <w:sz w:val="24"/>
          <w:szCs w:val="24"/>
        </w:rPr>
        <w:t>а или масляно-керосиновая смесь). Магнитные суспензии могут быть либо в заводской аэрозольной упаковке, либо приготовлены самостоятельно, в соответствии с технологией их изготовления.</w:t>
      </w:r>
    </w:p>
    <w:p w:rsidR="00000000" w:rsidRDefault="00B53753">
      <w:pPr>
        <w:shd w:val="clear" w:color="auto" w:fill="FFFFFF"/>
        <w:tabs>
          <w:tab w:val="left" w:pos="1080"/>
        </w:tabs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6.3 Порядок проведения контроля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6.3.1 При выполнении МПК следует руковод</w:t>
      </w:r>
      <w:r>
        <w:rPr>
          <w:sz w:val="24"/>
          <w:szCs w:val="24"/>
        </w:rPr>
        <w:t xml:space="preserve">ствоваться требованиями </w:t>
      </w:r>
      <w:hyperlink r:id="rId18" w:tooltip="Контроль неразрушающий. Магнитопорошковый метод" w:history="1">
        <w:r>
          <w:rPr>
            <w:rStyle w:val="a3"/>
            <w:sz w:val="24"/>
            <w:szCs w:val="24"/>
          </w:rPr>
          <w:t>ГОСТ 21105</w:t>
        </w:r>
      </w:hyperlink>
      <w:r>
        <w:rPr>
          <w:sz w:val="24"/>
          <w:szCs w:val="24"/>
        </w:rPr>
        <w:t xml:space="preserve"> и рекомендациями </w:t>
      </w:r>
      <w:hyperlink r:id="rId19" w:tooltip="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" w:history="1">
        <w:r>
          <w:rPr>
            <w:rStyle w:val="a3"/>
            <w:sz w:val="24"/>
            <w:szCs w:val="24"/>
          </w:rPr>
          <w:t>РД 13-05-2006</w:t>
        </w:r>
      </w:hyperlink>
      <w:r>
        <w:rPr>
          <w:sz w:val="24"/>
          <w:szCs w:val="24"/>
        </w:rPr>
        <w:t xml:space="preserve"> </w:t>
      </w:r>
      <w:hyperlink w:anchor="б_5" w:tooltip="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" w:history="1">
        <w:r>
          <w:rPr>
            <w:rStyle w:val="a3"/>
            <w:sz w:val="24"/>
            <w:szCs w:val="24"/>
          </w:rPr>
          <w:t>[5]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6.3.2 Условный уровень чувствительности контроля должен обеспечивать выявля</w:t>
      </w:r>
      <w:r>
        <w:rPr>
          <w:sz w:val="24"/>
          <w:szCs w:val="24"/>
        </w:rPr>
        <w:t xml:space="preserve">емость дефектов с минимальной шириной раскрытия 10 мкм и минимальной протяженностью </w:t>
      </w:r>
      <w:smartTag w:uri="urn:schemas-microsoft-com:office:smarttags" w:element="metricconverter">
        <w:smartTagPr>
          <w:attr w:name="ProductID" w:val="0,5 мм"/>
        </w:smartTagPr>
        <w:r>
          <w:rPr>
            <w:sz w:val="24"/>
            <w:szCs w:val="24"/>
          </w:rPr>
          <w:t>0,5 мм</w:t>
        </w:r>
      </w:smartTag>
      <w:r>
        <w:rPr>
          <w:sz w:val="24"/>
          <w:szCs w:val="24"/>
        </w:rPr>
        <w:t xml:space="preserve"> (условный уровень чувствительности «Б» - в соответствии с 1.5 </w:t>
      </w:r>
      <w:hyperlink r:id="rId20" w:tooltip="Контроль неразрушающий. Магнитопорошковый метод" w:history="1">
        <w:r>
          <w:rPr>
            <w:rStyle w:val="a3"/>
            <w:sz w:val="24"/>
            <w:szCs w:val="24"/>
          </w:rPr>
          <w:t>ГОСТ 21105</w:t>
        </w:r>
      </w:hyperlink>
      <w:r>
        <w:rPr>
          <w:sz w:val="24"/>
          <w:szCs w:val="24"/>
        </w:rPr>
        <w:t>).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6.3.3 Контро</w:t>
      </w:r>
      <w:r>
        <w:rPr>
          <w:sz w:val="24"/>
          <w:szCs w:val="24"/>
        </w:rPr>
        <w:t>ль сварных швов сосуда производится только в приложенном магнитном поле и включает следующие операции: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намагничивание;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проверку качества намагниченности контролируемого участка;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нанесение магнитного индикатора;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осмотр контролируемого участка, расши</w:t>
      </w:r>
      <w:r>
        <w:rPr>
          <w:sz w:val="24"/>
          <w:szCs w:val="24"/>
        </w:rPr>
        <w:t>фровку индикаторного рисунка.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6.3.4 Технология проведения МПК приведена в </w:t>
      </w:r>
      <w:hyperlink w:anchor="_Приложение_Б_(рекомендуемое)" w:tooltip="Приложение Б (рекомендуемое)Технология проведения магнитопорошкового контроля сосудов. Расшифровка и анализ результатов" w:history="1">
        <w:r>
          <w:rPr>
            <w:rStyle w:val="a3"/>
            <w:sz w:val="24"/>
            <w:szCs w:val="24"/>
          </w:rPr>
          <w:t>прило</w:t>
        </w:r>
        <w:r>
          <w:rPr>
            <w:rStyle w:val="a3"/>
            <w:sz w:val="24"/>
            <w:szCs w:val="24"/>
          </w:rPr>
          <w:t>жении Б</w:t>
        </w:r>
      </w:hyperlink>
      <w:r>
        <w:rPr>
          <w:sz w:val="24"/>
          <w:szCs w:val="24"/>
        </w:rPr>
        <w:t>.</w:t>
      </w:r>
    </w:p>
    <w:p w:rsidR="00000000" w:rsidRDefault="00B53753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6.4 Оценка результатов контроля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6.4.1 Оценку качества металла элементов сосуда, его сварных соединений и конструкции в целом по результатам МПК проводят в соответствии с </w:t>
      </w:r>
      <w:hyperlink r:id="rId21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ПБ 03-576-03</w:t>
        </w:r>
      </w:hyperlink>
      <w:r>
        <w:rPr>
          <w:sz w:val="24"/>
          <w:szCs w:val="24"/>
        </w:rPr>
        <w:t xml:space="preserve"> </w:t>
      </w:r>
      <w:hyperlink w:anchor="б_1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[1]</w:t>
        </w:r>
      </w:hyperlink>
      <w:r>
        <w:rPr>
          <w:sz w:val="24"/>
          <w:szCs w:val="24"/>
        </w:rPr>
        <w:t xml:space="preserve">, </w:t>
      </w:r>
      <w:hyperlink r:id="rId22" w:tooltip="Правила проектирования, изготовления и приемки сосудов и аппаратов стальных сварных" w:history="1">
        <w:r>
          <w:rPr>
            <w:rStyle w:val="a3"/>
            <w:sz w:val="24"/>
            <w:szCs w:val="24"/>
          </w:rPr>
          <w:t>ПБ 03-584-03</w:t>
        </w:r>
      </w:hyperlink>
      <w:r>
        <w:rPr>
          <w:sz w:val="24"/>
          <w:szCs w:val="24"/>
        </w:rPr>
        <w:t xml:space="preserve"> </w:t>
      </w:r>
      <w:hyperlink w:anchor="б_6" w:tooltip="Правила проектирования, изготовления и приемки сосудов и аппаратов стальных сварных" w:history="1">
        <w:r>
          <w:rPr>
            <w:rStyle w:val="a3"/>
            <w:sz w:val="24"/>
            <w:szCs w:val="24"/>
          </w:rPr>
          <w:t>[6]</w:t>
        </w:r>
      </w:hyperlink>
      <w:r>
        <w:rPr>
          <w:sz w:val="24"/>
          <w:szCs w:val="24"/>
        </w:rPr>
        <w:t xml:space="preserve">, </w:t>
      </w:r>
      <w:hyperlink r:id="rId23" w:tooltip="Прокат листовой из углеродистой, низколегированной и легированной стали для котлов и сосудов, работающих под давлением. Технические условия" w:history="1">
        <w:r>
          <w:rPr>
            <w:rStyle w:val="a3"/>
            <w:sz w:val="24"/>
            <w:szCs w:val="24"/>
          </w:rPr>
          <w:t>ГОСТ 5520</w:t>
        </w:r>
      </w:hyperlink>
      <w:r>
        <w:rPr>
          <w:sz w:val="24"/>
          <w:szCs w:val="24"/>
        </w:rPr>
        <w:t xml:space="preserve"> и </w:t>
      </w:r>
      <w:hyperlink r:id="rId24" w:tooltip="Сосуды и аппараты стальные сварные. Общие технические условия" w:history="1">
        <w:r>
          <w:rPr>
            <w:rStyle w:val="a3"/>
            <w:sz w:val="24"/>
            <w:szCs w:val="24"/>
          </w:rPr>
          <w:t>ОСТ 26 291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6.4.2 Для норм оценки качества по результатам НК следует использовать раз</w:t>
      </w:r>
      <w:r>
        <w:rPr>
          <w:sz w:val="24"/>
          <w:szCs w:val="24"/>
        </w:rPr>
        <w:t xml:space="preserve">мерные показатели дефектов в соответствии с </w:t>
      </w:r>
      <w:hyperlink w:anchor="_Приложение_В_(обязательное)" w:tooltip="Приложение В (обязательное)Размерные показатели дефектов для норм оценки качества* по результатам неразрушающего контроля основного металла и сварных соединений сосудов" w:history="1">
        <w:r>
          <w:rPr>
            <w:rStyle w:val="a3"/>
            <w:sz w:val="24"/>
            <w:szCs w:val="24"/>
          </w:rPr>
          <w:t xml:space="preserve">приложением </w:t>
        </w:r>
        <w:r>
          <w:rPr>
            <w:rStyle w:val="a3"/>
            <w:bCs/>
            <w:sz w:val="24"/>
            <w:szCs w:val="24"/>
          </w:rPr>
          <w:t>В</w:t>
        </w:r>
      </w:hyperlink>
      <w:r>
        <w:rPr>
          <w:bCs/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1070"/>
        </w:tabs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6.5 Регистрация результатов контроля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МПК сосудов фиксируются в отчетной документации в виде заключений с оценкой технического состояния сосуда. Заключение по результатам МПК оформляется в соответствии с приложением Д </w:t>
      </w:r>
      <w:hyperlink r:id="rId25" w:tooltip="Инструкция по неразрушающим методам контроля качества сварных соединений при строительстве и ремонте промысловых и магистральных газопроводов" w:history="1">
        <w:r>
          <w:rPr>
            <w:rStyle w:val="a3"/>
            <w:sz w:val="24"/>
            <w:szCs w:val="24"/>
          </w:rPr>
          <w:t>СТО Газпром 2-2.4-083</w:t>
        </w:r>
      </w:hyperlink>
      <w:r>
        <w:rPr>
          <w:sz w:val="24"/>
          <w:szCs w:val="24"/>
        </w:rPr>
        <w:t>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7" w:name="_Toc286327365"/>
      <w:r>
        <w:rPr>
          <w:rFonts w:ascii="Times New Roman" w:eastAsia="Times New Roman" w:hAnsi="Times New Roman"/>
          <w:sz w:val="24"/>
          <w:szCs w:val="24"/>
        </w:rPr>
        <w:t>7 Требования безопасности</w:t>
      </w:r>
      <w:bookmarkEnd w:id="7"/>
    </w:p>
    <w:p w:rsidR="00000000" w:rsidRDefault="00B53753">
      <w:pPr>
        <w:shd w:val="clear" w:color="auto" w:fill="FFFFFF"/>
        <w:tabs>
          <w:tab w:val="left" w:pos="107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7.1 Персонал, выполняющий работы п</w:t>
      </w:r>
      <w:r>
        <w:rPr>
          <w:sz w:val="24"/>
          <w:szCs w:val="24"/>
        </w:rPr>
        <w:t xml:space="preserve">о обследованию технического состояния сосудов, должен руководствоваться требованиями </w:t>
      </w:r>
      <w:hyperlink r:id="rId26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ПБ 03-576-03</w:t>
        </w:r>
      </w:hyperlink>
      <w:r>
        <w:rPr>
          <w:sz w:val="24"/>
          <w:szCs w:val="24"/>
        </w:rPr>
        <w:t xml:space="preserve"> </w:t>
      </w:r>
      <w:hyperlink w:anchor="б_1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[1]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tabs>
          <w:tab w:val="left" w:pos="1008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7.2 К выполнению работ по обследованию технического состояния сосудов допускаются специалисты, прошедшие специальный инструктаж по правилам б</w:t>
      </w:r>
      <w:r>
        <w:rPr>
          <w:sz w:val="24"/>
          <w:szCs w:val="24"/>
        </w:rPr>
        <w:t>езопасности и пожарной безопасности с записью о проведении инструктажа в специальном журнале.</w:t>
      </w:r>
    </w:p>
    <w:p w:rsidR="00000000" w:rsidRDefault="00B53753">
      <w:pPr>
        <w:shd w:val="clear" w:color="auto" w:fill="FFFFFF"/>
        <w:tabs>
          <w:tab w:val="left" w:pos="1075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В случае выполнения контроля на высоте, в стесненных условиях, специалисты должны пройти дополнительный инструктаж по технике безопасности согласно </w:t>
      </w:r>
      <w:hyperlink r:id="rId27" w:tooltip="Межотраслевые правила по охране труда при работе на высоте" w:history="1">
        <w:r>
          <w:rPr>
            <w:rStyle w:val="a3"/>
            <w:sz w:val="24"/>
            <w:szCs w:val="24"/>
          </w:rPr>
          <w:t>ПОТ Р М-012-2000</w:t>
        </w:r>
      </w:hyperlink>
      <w:r>
        <w:rPr>
          <w:sz w:val="24"/>
          <w:szCs w:val="24"/>
        </w:rPr>
        <w:t xml:space="preserve"> </w:t>
      </w:r>
      <w:hyperlink w:anchor="б_7" w:tooltip="Межотраслевые правила по охране труда при работе на высоте" w:history="1">
        <w:r>
          <w:rPr>
            <w:rStyle w:val="a3"/>
            <w:sz w:val="24"/>
            <w:szCs w:val="24"/>
          </w:rPr>
          <w:t>[7]</w:t>
        </w:r>
      </w:hyperlink>
      <w:r>
        <w:rPr>
          <w:sz w:val="24"/>
          <w:szCs w:val="24"/>
        </w:rPr>
        <w:t>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8" w:name="_Приложение_А_(рекомендуемое)_Визуал"/>
      <w:bookmarkStart w:id="9" w:name="_Приложение_А_(рекомендуемое)"/>
      <w:bookmarkStart w:id="10" w:name="_Toc286327366"/>
      <w:bookmarkEnd w:id="8"/>
      <w:bookmarkEnd w:id="9"/>
      <w:r>
        <w:rPr>
          <w:rFonts w:ascii="Times New Roman" w:eastAsia="Times New Roman" w:hAnsi="Times New Roman"/>
          <w:bCs w:val="0"/>
          <w:sz w:val="24"/>
          <w:szCs w:val="24"/>
        </w:rPr>
        <w:t>Приложение А</w:t>
      </w:r>
      <w:r>
        <w:rPr>
          <w:rFonts w:ascii="Times New Roman" w:eastAsia="Times New Roman" w:hAnsi="Times New Roman"/>
          <w:bCs w:val="0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(рекомендуемое)</w:t>
      </w:r>
      <w:r>
        <w:rPr>
          <w:rFonts w:ascii="Times New Roman" w:eastAsia="Times New Roman" w:hAnsi="Times New Roman"/>
          <w:sz w:val="24"/>
          <w:szCs w:val="24"/>
        </w:rPr>
        <w:br/>
        <w:t>Визуальный и измерительный контроль</w:t>
      </w:r>
      <w:r>
        <w:rPr>
          <w:rFonts w:ascii="Times New Roman" w:eastAsia="Times New Roman" w:hAnsi="Times New Roman"/>
          <w:sz w:val="24"/>
          <w:szCs w:val="24"/>
        </w:rPr>
        <w:t xml:space="preserve"> сосудов</w:t>
      </w:r>
      <w:bookmarkEnd w:id="10"/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А.1 Требования к средствам ВИК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ВИК следует применять: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линейки измерительные металлические;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штангенциркули;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шаблоны, в том числе специальные и универсальные (например, универсальный шаблон сварщика);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лупы, в том числе и измерительные.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опускается использовать другие мерительные инструменты, позволяющие измерить размеры с требуемой точностью с учетом допусков. Допустимая погрешность измерений при измерительном контроле определяется в соответствии с </w:t>
      </w:r>
      <w:hyperlink r:id="rId28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РД 03-606-03</w:t>
        </w:r>
      </w:hyperlink>
      <w:r>
        <w:rPr>
          <w:sz w:val="24"/>
          <w:szCs w:val="24"/>
        </w:rPr>
        <w:t xml:space="preserve"> </w:t>
      </w:r>
      <w:hyperlink w:anchor="б_8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[8]</w:t>
        </w:r>
      </w:hyperlink>
      <w:r>
        <w:rPr>
          <w:sz w:val="24"/>
          <w:szCs w:val="24"/>
        </w:rPr>
        <w:t xml:space="preserve">, но не более </w:t>
      </w:r>
      <w:smartTag w:uri="urn:schemas-microsoft-com:office:smarttags" w:element="metricconverter">
        <w:smartTagPr>
          <w:attr w:name="ProductID" w:val="1 мм"/>
        </w:smartTagPr>
        <w:r>
          <w:rPr>
            <w:sz w:val="24"/>
            <w:szCs w:val="24"/>
          </w:rPr>
          <w:t>1 мм</w:t>
        </w:r>
      </w:smartTag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А.2 </w:t>
      </w:r>
      <w:r>
        <w:rPr>
          <w:b/>
          <w:bCs/>
          <w:sz w:val="24"/>
          <w:szCs w:val="24"/>
        </w:rPr>
        <w:t xml:space="preserve">Подготовка </w:t>
      </w:r>
      <w:r>
        <w:rPr>
          <w:b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ВИК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А.2.1 Подготовка контролируемых поверхностей сосуда проводится службами </w:t>
      </w:r>
      <w:r>
        <w:rPr>
          <w:sz w:val="24"/>
          <w:szCs w:val="24"/>
        </w:rPr>
        <w:lastRenderedPageBreak/>
        <w:t>э</w:t>
      </w:r>
      <w:r>
        <w:rPr>
          <w:sz w:val="24"/>
          <w:szCs w:val="24"/>
        </w:rPr>
        <w:t>ксплуатирующей организации. Участки, подлежащие зачистке на поверхности сосуда, определяет специалист, проводящий контроль неразрушающими методами. Подготовка контролируемых поверхностей в обязанности специалиста по контролю не входит.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А.2.2 ВИК подлежат с</w:t>
      </w:r>
      <w:r>
        <w:rPr>
          <w:sz w:val="24"/>
          <w:szCs w:val="24"/>
        </w:rPr>
        <w:t>варные соединения с околошовными зонами и основной металл обечаек сосуда, а также основной металл патрубков входа/выхода природного газа, горловин люков и дренажных патрубков сосуда.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А.2.3 В случае визуального обнаружения </w:t>
      </w:r>
      <w:r>
        <w:rPr>
          <w:sz w:val="24"/>
          <w:szCs w:val="24"/>
        </w:rPr>
        <w:t>дефектов на основном металле обечаек и патрубков сосуда зачищаются участки их выявления для определения характера и размеров обнаруженных несплошностей.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А.2.4 Зачищенные для проведения ВИК поверхности элементов сосуда в соответствии с </w:t>
      </w:r>
      <w:hyperlink r:id="rId29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РД 03-606-03</w:t>
        </w:r>
      </w:hyperlink>
      <w:r>
        <w:rPr>
          <w:sz w:val="24"/>
          <w:szCs w:val="24"/>
        </w:rPr>
        <w:t xml:space="preserve"> </w:t>
      </w:r>
      <w:hyperlink w:anchor="б_8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[8]</w:t>
        </w:r>
      </w:hyperlink>
      <w:r>
        <w:rPr>
          <w:sz w:val="24"/>
          <w:szCs w:val="24"/>
        </w:rPr>
        <w:t xml:space="preserve"> должны иметь параметр шероховатости не более </w:t>
      </w:r>
      <w:r>
        <w:rPr>
          <w:i/>
          <w:sz w:val="24"/>
          <w:szCs w:val="24"/>
          <w:lang w:val="en-US"/>
        </w:rPr>
        <w:t>Ra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12,5 (</w:t>
      </w:r>
      <w:r>
        <w:rPr>
          <w:i/>
          <w:sz w:val="24"/>
          <w:szCs w:val="24"/>
          <w:lang w:val="en-US"/>
        </w:rPr>
        <w:t>Rz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80).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А.2.5 Для оценки качества зачист</w:t>
      </w:r>
      <w:r>
        <w:rPr>
          <w:sz w:val="24"/>
          <w:szCs w:val="24"/>
        </w:rPr>
        <w:t xml:space="preserve">ки следует использовать набор образцов шероховатости поверхности (сравнения) согласно </w:t>
      </w:r>
      <w:hyperlink r:id="rId30" w:tooltip="Образцы шероховатости поверхности (сравнения). Общие технические условия" w:history="1">
        <w:r>
          <w:rPr>
            <w:rStyle w:val="a3"/>
            <w:sz w:val="24"/>
            <w:szCs w:val="24"/>
          </w:rPr>
          <w:t>ГОСТ 9378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А.2.6 При проведении зачистки толщина стенки контролируе</w:t>
      </w:r>
      <w:r>
        <w:rPr>
          <w:sz w:val="24"/>
          <w:szCs w:val="24"/>
        </w:rPr>
        <w:t>мого элемента сосуда не должна выходить за пределы минусовых допусков. Дефекты типа рисок, царапин и др. не допускаются.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А.3 Порядок проведения ВИК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А.3.1 При выполнении ВИК следует руководствоваться требованиями </w:t>
      </w:r>
      <w:hyperlink r:id="rId31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РД 03-606-03</w:t>
        </w:r>
      </w:hyperlink>
      <w:r>
        <w:rPr>
          <w:sz w:val="24"/>
          <w:szCs w:val="24"/>
        </w:rPr>
        <w:t xml:space="preserve"> </w:t>
      </w:r>
      <w:hyperlink w:anchor="б_8" w:tooltip="Инструкция по визуальному и измерительному контролю" w:history="1">
        <w:r>
          <w:rPr>
            <w:rStyle w:val="a3"/>
            <w:sz w:val="24"/>
            <w:szCs w:val="24"/>
          </w:rPr>
          <w:t>[8]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А.3.2 Освещенность рабочего места для выполнения ВИК выбирается в соответствии с </w:t>
      </w:r>
      <w:hyperlink r:id="rId32" w:tooltip="Контроль неразрушающий. Методы оптического вида. Общие требования" w:history="1">
        <w:r>
          <w:rPr>
            <w:rStyle w:val="a3"/>
            <w:sz w:val="24"/>
            <w:szCs w:val="24"/>
          </w:rPr>
          <w:t>ГОСТ 23479</w:t>
        </w:r>
      </w:hyperlink>
      <w:r>
        <w:rPr>
          <w:sz w:val="24"/>
          <w:szCs w:val="24"/>
        </w:rPr>
        <w:t>. Для визуального контроля необходимо использовать лупы (с подсветкой или без нее) с увеличением от четырех- до десятикратного. Для создания оптималь</w:t>
      </w:r>
      <w:r>
        <w:rPr>
          <w:sz w:val="24"/>
          <w:szCs w:val="24"/>
        </w:rPr>
        <w:t>ного контраста дефекта с фоном в зоне контроля в случае необходимости следует применять дополнительный переносной источник света. Освещенность контролируемых поверхностей должна быть достаточной для выявления дефектов, но не менее 500 лк.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А.3.3 При визуаль</w:t>
      </w:r>
      <w:r>
        <w:rPr>
          <w:sz w:val="24"/>
          <w:szCs w:val="24"/>
        </w:rPr>
        <w:t>ном контроле материала и сварных соединений сосуда следует проверять: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механических повреждений поверхностей основного металла и металла сварных соединений;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трещин и других поверхностных дефектов, образовавшихся (получивших развити</w:t>
      </w:r>
      <w:r>
        <w:rPr>
          <w:sz w:val="24"/>
          <w:szCs w:val="24"/>
        </w:rPr>
        <w:t>е) в процессе изготовления или эксплуатации;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коррозионного и механического износа поверхностей элементов сосуда.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А.3.4 Измерительный контроль выполняют с целью определения соответствия геометрических размеров и допустимости повреждений материа</w:t>
      </w:r>
      <w:r>
        <w:rPr>
          <w:sz w:val="24"/>
          <w:szCs w:val="24"/>
        </w:rPr>
        <w:t>ла и сварных соединений сосуда, выявленных при визуальном контроле, требованиям нормативно-технической документации.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А.3.5 При измерительном контроле состояния материала и сварных соединений сосуда определяют: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геометрические размеры и дефекты формы сварн</w:t>
      </w:r>
      <w:r>
        <w:rPr>
          <w:sz w:val="24"/>
          <w:szCs w:val="24"/>
        </w:rPr>
        <w:t>ых швов;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размеры механических повреждений и деформированных участков материала, в том числе длину, ширину и глубину вмятин, рисок, раковин;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размеры дефектов сварных соединений, в том числе длину, ширину и глубину подрезов, прожогов, наплывов, кратеров,</w:t>
      </w:r>
      <w:r>
        <w:rPr>
          <w:sz w:val="24"/>
          <w:szCs w:val="24"/>
        </w:rPr>
        <w:t xml:space="preserve"> свищей, пор, раковин и других несплошностей;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глубину коррозионных язв и размеры зон коррозионного повреждения, включая их глубину.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А.4 Оценка результатов ВИК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Оценку качества основного металла элементов сосуда, сварных соединений и конструкции в целом по</w:t>
      </w:r>
      <w:r>
        <w:rPr>
          <w:sz w:val="24"/>
          <w:szCs w:val="24"/>
        </w:rPr>
        <w:t xml:space="preserve"> результатам ВИК проводят в соответствии с </w:t>
      </w:r>
      <w:hyperlink r:id="rId33" w:tooltip="Сосуды и аппараты стальные сварные. Общие технические условия" w:history="1">
        <w:r>
          <w:rPr>
            <w:rStyle w:val="a3"/>
            <w:sz w:val="24"/>
            <w:szCs w:val="24"/>
          </w:rPr>
          <w:t>ОСТ 26 291</w:t>
        </w:r>
      </w:hyperlink>
      <w:r>
        <w:rPr>
          <w:sz w:val="24"/>
          <w:szCs w:val="24"/>
        </w:rPr>
        <w:t xml:space="preserve">, </w:t>
      </w:r>
      <w:hyperlink r:id="rId34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ПБ 03-576-03</w:t>
        </w:r>
      </w:hyperlink>
      <w:r>
        <w:rPr>
          <w:sz w:val="24"/>
          <w:szCs w:val="24"/>
        </w:rPr>
        <w:t xml:space="preserve"> </w:t>
      </w:r>
      <w:hyperlink w:anchor="б_1" w:tooltip="Правила устройства и безопасной эксплуатации сосудов, работающих под давлением" w:history="1">
        <w:r>
          <w:rPr>
            <w:rStyle w:val="a3"/>
            <w:sz w:val="24"/>
            <w:szCs w:val="24"/>
          </w:rPr>
          <w:t>[1]</w:t>
        </w:r>
      </w:hyperlink>
      <w:r>
        <w:rPr>
          <w:sz w:val="24"/>
          <w:szCs w:val="24"/>
        </w:rPr>
        <w:t xml:space="preserve"> и </w:t>
      </w:r>
      <w:hyperlink r:id="rId35" w:tooltip="Правила проектирования, изготовления и приемки сосудов и аппаратов стальных сварных" w:history="1">
        <w:r>
          <w:rPr>
            <w:rStyle w:val="a3"/>
            <w:sz w:val="24"/>
            <w:szCs w:val="24"/>
          </w:rPr>
          <w:t>ПБ 03-584-0</w:t>
        </w:r>
        <w:r>
          <w:rPr>
            <w:rStyle w:val="a3"/>
            <w:sz w:val="24"/>
            <w:szCs w:val="24"/>
          </w:rPr>
          <w:t>3</w:t>
        </w:r>
      </w:hyperlink>
      <w:r>
        <w:rPr>
          <w:sz w:val="24"/>
          <w:szCs w:val="24"/>
        </w:rPr>
        <w:t xml:space="preserve"> </w:t>
      </w:r>
      <w:hyperlink w:anchor="б_6" w:tooltip="Правила проектирования, изготовления и приемки сосудов и аппаратов стальных сварных" w:history="1">
        <w:r>
          <w:rPr>
            <w:rStyle w:val="a3"/>
            <w:sz w:val="24"/>
            <w:szCs w:val="24"/>
          </w:rPr>
          <w:t>[6]</w:t>
        </w:r>
      </w:hyperlink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А.5 Регистрация результатов контроля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ВИК сосудов фиксируются в отчетной документации с приложением дефектограмм. Выявленные</w:t>
      </w:r>
      <w:r>
        <w:rPr>
          <w:sz w:val="24"/>
          <w:szCs w:val="24"/>
        </w:rPr>
        <w:t xml:space="preserve"> дефекты на поверхности сосуда отмечаются маркером для последующего дублирования их магнитопорошковым методом.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11" w:name="_Приложение_Б_(рекомендуемое)_Технол"/>
      <w:bookmarkStart w:id="12" w:name="_Приложение_Б_(рекомендуемое)"/>
      <w:bookmarkStart w:id="13" w:name="_Toc286327367"/>
      <w:bookmarkEnd w:id="11"/>
      <w:bookmarkEnd w:id="12"/>
      <w:r>
        <w:rPr>
          <w:rFonts w:ascii="Times New Roman" w:eastAsia="Times New Roman" w:hAnsi="Times New Roman"/>
          <w:bCs w:val="0"/>
          <w:sz w:val="24"/>
          <w:szCs w:val="24"/>
        </w:rPr>
        <w:t>Приложение Б</w:t>
      </w:r>
      <w:r>
        <w:rPr>
          <w:rFonts w:ascii="Times New Roman" w:eastAsia="Times New Roman" w:hAnsi="Times New Roman"/>
          <w:bCs w:val="0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(рекомендуемое)</w:t>
      </w:r>
      <w:r>
        <w:rPr>
          <w:rFonts w:ascii="Times New Roman" w:eastAsia="Times New Roman" w:hAnsi="Times New Roman"/>
          <w:sz w:val="24"/>
          <w:szCs w:val="24"/>
        </w:rPr>
        <w:br/>
        <w:t>Технология проведения магнитопорошкового контроля сосудов. Расшифровка и анализ результатов</w:t>
      </w:r>
      <w:bookmarkEnd w:id="13"/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Б.1 Аппаратура и принадл</w:t>
      </w:r>
      <w:r>
        <w:rPr>
          <w:b/>
          <w:bCs/>
          <w:sz w:val="24"/>
          <w:szCs w:val="24"/>
        </w:rPr>
        <w:t>ежности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Б.1.1 При проведении МПК рекомендуется использовать магнитный дефектоскоп с намагничивающими устройствами на постоянных магнитах (например, МД-6) с целью обеспечения автономности и безопасности проведения дефектоскопических работ.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Б.1.2 Технические параметры применяемого намагничивающего устройства должны быть не хуже значений, приведенных в таблице Б.1.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Б.1 - Технические данные дефектоскопа переносного МД-6 на постоянных магнитах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0"/>
        <w:gridCol w:w="2571"/>
      </w:tblGrid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Средний размер контролируемого участка на по</w:t>
            </w:r>
            <w:r>
              <w:t>верхности изделия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120×80 мм</w:t>
            </w:r>
          </w:p>
        </w:tc>
      </w:tr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Максимальная напряженность поля у полюсных наконечников блоков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≥</w:t>
            </w:r>
            <w:r>
              <w:t xml:space="preserve"> 800 А/см</w:t>
            </w:r>
          </w:p>
        </w:tc>
      </w:tr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Усилие отрыва блоков намагничивания от ферромагнитной поверхности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≥</w:t>
            </w:r>
            <w:r>
              <w:t xml:space="preserve"> 18 кгс</w:t>
            </w:r>
          </w:p>
        </w:tc>
      </w:tr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Рабочие условия эксплуатации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от -40 °С до +50 °С</w:t>
            </w:r>
          </w:p>
        </w:tc>
      </w:tr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 xml:space="preserve">Габаритные размеры блоков </w:t>
            </w:r>
            <w:r>
              <w:t>намагничивания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40×40×90 мм</w:t>
            </w:r>
          </w:p>
        </w:tc>
      </w:tr>
      <w:tr w:rsidR="00000000">
        <w:trPr>
          <w:jc w:val="center"/>
        </w:trPr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Масса блока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0,8 кг"/>
              </w:smartTagPr>
              <w:r>
                <w:t>0,8 кг</w:t>
              </w:r>
            </w:smartTag>
          </w:p>
        </w:tc>
      </w:tr>
    </w:tbl>
    <w:p w:rsidR="00000000" w:rsidRDefault="00B53753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Б.1.3 В качестве магнитного индикатора рекомендуется использовать магнитные суспензии на основе магнитных порошков и дисперсионной среды (керосин, вода). Магнитные суспензии могут быть в </w:t>
      </w:r>
      <w:r>
        <w:rPr>
          <w:sz w:val="24"/>
          <w:szCs w:val="24"/>
        </w:rPr>
        <w:t>заводской аэрозольной упаковке либо приготовлены самостоятельно в соответствии с технологией приготовления суспензии. Цвет магнитного порошка подбирается в зависимости от цвета поверхности контроля для обеспечения условия максимальной контрастности индикат</w:t>
      </w:r>
      <w:r>
        <w:rPr>
          <w:sz w:val="24"/>
          <w:szCs w:val="24"/>
        </w:rPr>
        <w:t>орного рисунка с поверхностным фоном. Для увеличения контрастности рекомендуется использовать быстросохнущую белую аэрозольную краску.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Б.1.4 Эталон Бертольда (рисунок Б.1) предназначен для проверки качества магнитопорошковых суспензий, намагниченности и оп</w:t>
      </w:r>
      <w:r>
        <w:rPr>
          <w:sz w:val="24"/>
          <w:szCs w:val="24"/>
        </w:rPr>
        <w:t xml:space="preserve">ределения направленности магнитного поля. В случае отсутствия эталона Бертольда допускается использование контрольного образца (рисунок Б.2), входящего в комплект дефектоскопа (в случае отсутствия в комплекте дефектоскопа контрольного образца используется </w:t>
      </w:r>
      <w:r>
        <w:rPr>
          <w:sz w:val="24"/>
          <w:szCs w:val="24"/>
        </w:rPr>
        <w:t>СОП), с целью проверки качества дефектоскопических материалов и оценки работоспособности намагничивающего устройства.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Контрольный образец представляет собой пластину из ферромагнитного материала с искусственными дефектами.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Б.2 Подготовительные работы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Б.2.1</w:t>
      </w:r>
      <w:r>
        <w:rPr>
          <w:sz w:val="24"/>
          <w:szCs w:val="24"/>
        </w:rPr>
        <w:t xml:space="preserve"> Подготовительные работы перед проведением контроля включают: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подготовку поверхности;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приготовление магнитных суспензий;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проверку качества магнитного индикатора.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51660" cy="1127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7" t="22285" b="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widowControl/>
        <w:autoSpaceDE/>
        <w:adjustRightInd/>
        <w:spacing w:before="120" w:after="120"/>
        <w:jc w:val="center"/>
        <w:rPr>
          <w:b/>
        </w:rPr>
      </w:pPr>
      <w:r>
        <w:rPr>
          <w:b/>
        </w:rPr>
        <w:t>Рисунок Б. 1 -</w:t>
      </w:r>
      <w:r>
        <w:rPr>
          <w:b/>
        </w:rPr>
        <w:t xml:space="preserve"> Эталон Бертольда</w:t>
      </w:r>
    </w:p>
    <w:p w:rsidR="00000000" w:rsidRDefault="00B53753">
      <w:pPr>
        <w:widowControl/>
        <w:autoSpaceDE/>
        <w:adjustRightInd/>
        <w:spacing w:before="120" w:after="1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1905000" cy="1150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shd w:val="clear" w:color="auto" w:fill="FFFFFF"/>
        <w:tabs>
          <w:tab w:val="left" w:pos="5198"/>
        </w:tabs>
        <w:spacing w:before="120" w:after="120"/>
        <w:jc w:val="center"/>
        <w:rPr>
          <w:b/>
        </w:rPr>
      </w:pPr>
      <w:r>
        <w:rPr>
          <w:b/>
        </w:rPr>
        <w:t>Рисунок Б.2 - Контрольный образец с индикаторным рисунком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Б.2.2 Подготовка поверхности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поверхности заключается в </w:t>
      </w:r>
      <w:r>
        <w:rPr>
          <w:sz w:val="24"/>
          <w:szCs w:val="24"/>
        </w:rPr>
        <w:t>удалении защитного покрытия, следов коррозии, смазки и влаги. Поверхность зачищается до металлического блеска для улучшения выявляемость трещин. Царапины, риски, неровность и грубая чешуйчатость сварных швов, на которых возможно осаждение порошка при прове</w:t>
      </w:r>
      <w:r>
        <w:rPr>
          <w:sz w:val="24"/>
          <w:szCs w:val="24"/>
        </w:rPr>
        <w:t>дении контроля, не допускаются.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более контрастного индикаторного рисунка на контролируемую поверхность наносится методом аэрозольного распыления быстросохнущая белая краска. Контрастная краска наносится тонким полупрозрачным слоем.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Б.2.3 Приг</w:t>
      </w:r>
      <w:r>
        <w:rPr>
          <w:sz w:val="24"/>
          <w:szCs w:val="24"/>
        </w:rPr>
        <w:t>отовление магнитной суспензии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приготовления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</w:rPr>
          <w:t>1 л</w:t>
        </w:r>
      </w:smartTag>
      <w:r>
        <w:rPr>
          <w:sz w:val="24"/>
          <w:szCs w:val="24"/>
        </w:rPr>
        <w:t xml:space="preserve"> органической (керосиновой, масляной или масло-керосиновой) магнитной суспензии с черным магнитным порошком необходимо выполнить следующие работы: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емкость поместить от 7 до </w:t>
      </w:r>
      <w:smartTag w:uri="urn:schemas-microsoft-com:office:smarttags" w:element="metricconverter">
        <w:smartTagPr>
          <w:attr w:name="ProductID" w:val="10 г"/>
        </w:smartTagPr>
        <w:r>
          <w:rPr>
            <w:sz w:val="24"/>
            <w:szCs w:val="24"/>
          </w:rPr>
          <w:t>10 г</w:t>
        </w:r>
      </w:smartTag>
      <w:r>
        <w:rPr>
          <w:sz w:val="24"/>
          <w:szCs w:val="24"/>
        </w:rPr>
        <w:t xml:space="preserve"> магнитного порошка, от </w:t>
      </w:r>
      <w:r>
        <w:rPr>
          <w:sz w:val="24"/>
          <w:szCs w:val="24"/>
        </w:rPr>
        <w:t xml:space="preserve">0,3 до </w:t>
      </w:r>
      <w:smartTag w:uri="urn:schemas-microsoft-com:office:smarttags" w:element="metricconverter">
        <w:smartTagPr>
          <w:attr w:name="ProductID" w:val="0,5 г"/>
        </w:smartTagPr>
        <w:r>
          <w:rPr>
            <w:sz w:val="24"/>
            <w:szCs w:val="24"/>
          </w:rPr>
          <w:t>0,5 г</w:t>
        </w:r>
      </w:smartTag>
      <w:r>
        <w:rPr>
          <w:sz w:val="24"/>
          <w:szCs w:val="24"/>
        </w:rPr>
        <w:t xml:space="preserve"> присадки «Акор-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» и от 5 до 10 мл керосина или масла. Содержимое тщательно перемешать;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емкость влить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</w:rPr>
          <w:t>1 л</w:t>
        </w:r>
      </w:smartTag>
      <w:r>
        <w:rPr>
          <w:sz w:val="24"/>
          <w:szCs w:val="24"/>
        </w:rPr>
        <w:t xml:space="preserve"> керосина. Содержимое перемешать.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индикаторной жидкости может быть использована водная магнитная суспензия. Для приготовлени</w:t>
      </w:r>
      <w:r>
        <w:rPr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</w:rPr>
          <w:t>1 л</w:t>
        </w:r>
      </w:smartTag>
      <w:r>
        <w:rPr>
          <w:sz w:val="24"/>
          <w:szCs w:val="24"/>
        </w:rPr>
        <w:t xml:space="preserve"> водной магнитной суспензии необходимо выполнить следующие работы: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емкость поместить от 7 до </w:t>
      </w:r>
      <w:smartTag w:uri="urn:schemas-microsoft-com:office:smarttags" w:element="metricconverter">
        <w:smartTagPr>
          <w:attr w:name="ProductID" w:val="10 г"/>
        </w:smartTagPr>
        <w:r>
          <w:rPr>
            <w:sz w:val="24"/>
            <w:szCs w:val="24"/>
          </w:rPr>
          <w:t>10 г</w:t>
        </w:r>
      </w:smartTag>
      <w:r>
        <w:rPr>
          <w:sz w:val="24"/>
          <w:szCs w:val="24"/>
        </w:rPr>
        <w:t xml:space="preserve"> черного магнитного порошка и 1 мл поверхностно-активного вещества, например ОП-7, и туда же влить от 7 до 10 мл кипяченой воды;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полученную пастообр</w:t>
      </w:r>
      <w:r>
        <w:rPr>
          <w:sz w:val="24"/>
          <w:szCs w:val="24"/>
        </w:rPr>
        <w:t xml:space="preserve">азную массу влить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  <w:szCs w:val="24"/>
          </w:rPr>
          <w:t>1 л</w:t>
        </w:r>
      </w:smartTag>
      <w:r>
        <w:rPr>
          <w:sz w:val="24"/>
          <w:szCs w:val="24"/>
        </w:rPr>
        <w:t xml:space="preserve"> кипяченой воды и содержимое емкости вновь тщательно перемешать.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Сразу после приготовления магнитную суспензию переливают в другую емкость таким образом, чтобы на дне первой емкости остались крупные частицы, непригодные для контроля.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</w:rPr>
        <w:t>.2.4 Проверка качества магнитной суспензии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Качество суспензии проверяется по выявлению дефектов на контрольном образце следующим образом: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контрольный образец помещается между намагничивающими блоками;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на поверхность контрольного образца наносится (поли</w:t>
      </w:r>
      <w:r>
        <w:rPr>
          <w:sz w:val="24"/>
          <w:szCs w:val="24"/>
        </w:rPr>
        <w:t>вается) проверяемая магнитная суспензия;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сравнивается индикаторный рисунок (осаждение порошка) на контрольном образце с рисунком на дефектограмме;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если на контрольном образце выявилось не менее трех дефектов (из пяти), то суспензия считается пригодной </w:t>
      </w:r>
      <w:r>
        <w:rPr>
          <w:sz w:val="24"/>
          <w:szCs w:val="24"/>
        </w:rPr>
        <w:t>для проведения контроля.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bookmarkStart w:id="14" w:name="п_2_5"/>
      <w:r>
        <w:rPr>
          <w:sz w:val="24"/>
          <w:szCs w:val="24"/>
        </w:rPr>
        <w:t>Б.2.5 Проверку качества магнитного индикатора с применением эталонов Бертольда следует проводить непосредственно на контролируемой поверхности в приложенном поле по следующей технологии:</w:t>
      </w:r>
    </w:p>
    <w:bookmarkEnd w:id="14"/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установить эталон Бертольда на контролируе</w:t>
      </w:r>
      <w:r>
        <w:rPr>
          <w:sz w:val="24"/>
          <w:szCs w:val="24"/>
        </w:rPr>
        <w:t xml:space="preserve">мую поверхность сосуда посередине между полюсами намагничивающего устройства крышкой из немагнитного материала (медным покрытием) вверх. Расстояние между полюсами намагничивающего устройства, входящего в комплект дефектоскопа, должно составлять </w:t>
      </w:r>
      <w:smartTag w:uri="urn:schemas-microsoft-com:office:smarttags" w:element="metricconverter">
        <w:smartTagPr>
          <w:attr w:name="ProductID" w:val="60 мм"/>
        </w:smartTagPr>
        <w:r>
          <w:rPr>
            <w:sz w:val="24"/>
            <w:szCs w:val="24"/>
          </w:rPr>
          <w:t>60 мм</w:t>
        </w:r>
      </w:smartTag>
      <w:r>
        <w:rPr>
          <w:sz w:val="24"/>
          <w:szCs w:val="24"/>
        </w:rPr>
        <w:t xml:space="preserve"> - при</w:t>
      </w:r>
      <w:r>
        <w:rPr>
          <w:sz w:val="24"/>
          <w:szCs w:val="24"/>
        </w:rPr>
        <w:t xml:space="preserve"> использовании ярма или </w:t>
      </w:r>
      <w:smartTag w:uri="urn:schemas-microsoft-com:office:smarttags" w:element="metricconverter">
        <w:smartTagPr>
          <w:attr w:name="ProductID" w:val="120 мм"/>
        </w:smartTagPr>
        <w:r>
          <w:rPr>
            <w:sz w:val="24"/>
            <w:szCs w:val="24"/>
          </w:rPr>
          <w:t>120 мм</w:t>
        </w:r>
      </w:smartTag>
      <w:r>
        <w:rPr>
          <w:sz w:val="24"/>
          <w:szCs w:val="24"/>
        </w:rPr>
        <w:t xml:space="preserve"> - при использовании тросовой перемычки;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нанести магнитный индикатор на поверхность эталона;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оценить качество магнитной суспензии и намагниченность контролируемого участка по </w:t>
      </w:r>
      <w:r>
        <w:rPr>
          <w:sz w:val="24"/>
          <w:szCs w:val="24"/>
        </w:rPr>
        <w:lastRenderedPageBreak/>
        <w:t xml:space="preserve">образованию на эталоне </w:t>
      </w:r>
      <w:r>
        <w:rPr>
          <w:sz w:val="24"/>
          <w:szCs w:val="24"/>
        </w:rPr>
        <w:t>четкого индикаторного рисунка.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Индикаторный рисунок над искусственным дефектом эталона Бертольда может быть не получен в случае, если угол а между силовыми линиями магнитного поля и ориентацией искусственного дефекта менее 30°, как показано на рисунке Б.3.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40580" cy="28117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8" t="8473" r="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Рисунок Б.3 - Диаграмма выявляемости дефектов при проведении МПК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Б.2.6 Проверке подлежат все типы магнитных индикаторов, применяемые для контроля, в т.ч. в аэрозольной упаковке, неза</w:t>
      </w:r>
      <w:r>
        <w:rPr>
          <w:sz w:val="24"/>
          <w:szCs w:val="24"/>
        </w:rPr>
        <w:t>висимо от срока их приготовления.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Б.3 Проведение МПК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Б.3.1 Контроль угловых сварных швов и околошовных зон сосуда необходимо проводить по участкам. Контролируемым участком считается поверхность, находящаяся между полюсами блоков намагничивания. Пример уста</w:t>
      </w:r>
      <w:r>
        <w:rPr>
          <w:sz w:val="24"/>
          <w:szCs w:val="24"/>
        </w:rPr>
        <w:t>новки полюсов намагничивающего устройства на поверхности сосуда при проведении МПК показан на рисунке Б.4.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56460" cy="1684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 xml:space="preserve">N и </w:t>
      </w:r>
      <w:r>
        <w:rPr>
          <w:b/>
          <w:lang w:val="en-US"/>
        </w:rPr>
        <w:t xml:space="preserve">S </w:t>
      </w:r>
      <w:r>
        <w:rPr>
          <w:b/>
        </w:rPr>
        <w:t>- магнитные полюса намагничивающего устройства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Рисунок Б.4 - Пример ус</w:t>
      </w:r>
      <w:r>
        <w:rPr>
          <w:b/>
        </w:rPr>
        <w:t>тановки полюсов намагничивающего устройства на поверхности сосуда при проведении МПК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Б.3.2 Рекомендуемое расстояние между полюсами </w:t>
      </w:r>
      <w:r>
        <w:rPr>
          <w:i/>
          <w:iCs/>
          <w:sz w:val="24"/>
          <w:szCs w:val="24"/>
        </w:rPr>
        <w:t>а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лежит в пределах от 80 до </w:t>
      </w:r>
      <w:smartTag w:uri="urn:schemas-microsoft-com:office:smarttags" w:element="metricconverter">
        <w:smartTagPr>
          <w:attr w:name="ProductID" w:val="120 мм"/>
        </w:smartTagPr>
        <w:r>
          <w:rPr>
            <w:sz w:val="24"/>
            <w:szCs w:val="24"/>
          </w:rPr>
          <w:t>120 мм</w:t>
        </w:r>
      </w:smartTag>
      <w:r>
        <w:rPr>
          <w:sz w:val="24"/>
          <w:szCs w:val="24"/>
        </w:rPr>
        <w:t xml:space="preserve"> включительно, ширина </w:t>
      </w:r>
      <w:r>
        <w:rPr>
          <w:iCs/>
          <w:sz w:val="24"/>
          <w:szCs w:val="24"/>
        </w:rPr>
        <w:t xml:space="preserve">б </w:t>
      </w:r>
      <w:r>
        <w:rPr>
          <w:sz w:val="24"/>
          <w:szCs w:val="24"/>
        </w:rPr>
        <w:t xml:space="preserve">контролируемого участка - от 45 до </w:t>
      </w:r>
      <w:smartTag w:uri="urn:schemas-microsoft-com:office:smarttags" w:element="metricconverter">
        <w:smartTagPr>
          <w:attr w:name="ProductID" w:val="80 мм"/>
        </w:smartTagPr>
        <w:r>
          <w:rPr>
            <w:sz w:val="24"/>
            <w:szCs w:val="24"/>
          </w:rPr>
          <w:t>80 мм</w:t>
        </w:r>
      </w:smartTag>
      <w:r>
        <w:rPr>
          <w:sz w:val="24"/>
          <w:szCs w:val="24"/>
        </w:rPr>
        <w:t xml:space="preserve"> включительно (рисунок Б.5)</w:t>
      </w:r>
      <w:r>
        <w:rPr>
          <w:sz w:val="24"/>
          <w:szCs w:val="24"/>
        </w:rPr>
        <w:t xml:space="preserve">. В пределах этого участка обеспечивается надежное выявление трещин. Зоны шириной от 10 до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  <w:szCs w:val="24"/>
          </w:rPr>
          <w:t>20 мм</w:t>
        </w:r>
      </w:smartTag>
      <w:r>
        <w:rPr>
          <w:sz w:val="24"/>
          <w:szCs w:val="24"/>
        </w:rPr>
        <w:t xml:space="preserve"> включительно, прилегающие к полюсам, являются зонами, где дефекты не обнаруживаются. Эти зоны в контролируемый участок не входят.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2354580" cy="18973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6" t="4616" r="5649" b="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а - расстояние между полюсами; б - ширина контролируемого участка</w:t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Рисунок Б.5 - Схема расположения контролируемого участка при проведении магнитопорошкового контроля сварных соединений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Б.3.3 Перед проведением МПК</w:t>
      </w:r>
      <w:r>
        <w:rPr>
          <w:sz w:val="24"/>
          <w:szCs w:val="24"/>
        </w:rPr>
        <w:t xml:space="preserve"> проверяемая поверхность размечается на контролируемые участки. Контроль проводится последовательно по размеченным участкам.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Б.3.4 Намагничивание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Б.3.4.1 Контролируемый участок намагничивается таким образом, чтобы выполнялись следующие условия: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силовые л</w:t>
      </w:r>
      <w:r>
        <w:rPr>
          <w:sz w:val="24"/>
          <w:szCs w:val="24"/>
        </w:rPr>
        <w:t>инии магнитного поля ориентированы перпендикулярно плоскости ожидаемого дефекта;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контролируемый участок располагается посередине между полюсами намагничивающего устройства;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расстояния между полюсами намагничивающего устройства соответствуют данным табл</w:t>
      </w:r>
      <w:r>
        <w:rPr>
          <w:sz w:val="24"/>
          <w:szCs w:val="24"/>
        </w:rPr>
        <w:t>ицы Б.2;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переустановка полюсов намагничивающего устройства для дефектоскопии последующих участков контроля производится после выполнения всех операций контроля;</w:t>
      </w:r>
    </w:p>
    <w:p w:rsidR="00000000" w:rsidRDefault="00B53753">
      <w:pPr>
        <w:shd w:val="clear" w:color="auto" w:fill="FFFFFF"/>
        <w:tabs>
          <w:tab w:val="left" w:pos="0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переустановка полюсов намагничивающего устройства при контроле протяженного сварного шва </w:t>
      </w:r>
      <w:r>
        <w:rPr>
          <w:sz w:val="24"/>
          <w:szCs w:val="24"/>
        </w:rPr>
        <w:t xml:space="preserve">осуществляется таким образом, чтобы соседние контролируемые участки шва соприкасались или перекрывались между собой на участке от 5 до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  <w:szCs w:val="24"/>
          </w:rPr>
          <w:t>10 мм</w:t>
        </w:r>
      </w:smartTag>
      <w:r>
        <w:rPr>
          <w:sz w:val="24"/>
          <w:szCs w:val="24"/>
        </w:rPr>
        <w:t xml:space="preserve"> включительно.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Б.2 - Параметры проведения магнитнопорошкового контроля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92"/>
        <w:gridCol w:w="2396"/>
        <w:gridCol w:w="2410"/>
        <w:gridCol w:w="2433"/>
      </w:tblGrid>
      <w:tr w:rsidR="00000000">
        <w:trPr>
          <w:jc w:val="center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 мм"/>
              </w:smartTagPr>
              <w:r>
                <w:rPr>
                  <w:sz w:val="24"/>
                  <w:szCs w:val="24"/>
                </w:rPr>
                <w:t>80 мм</w:t>
              </w:r>
            </w:smartTag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а </w:t>
            </w:r>
            <w:r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>
                <w:rPr>
                  <w:sz w:val="24"/>
                  <w:szCs w:val="24"/>
                </w:rPr>
                <w:t>120 мм</w:t>
              </w:r>
            </w:smartTag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б1 </w:t>
            </w:r>
            <w:r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 xml:space="preserve"> 0,5 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б2 </w:t>
            </w:r>
            <w:r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а-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rPr>
                  <w:sz w:val="24"/>
                  <w:szCs w:val="24"/>
                </w:rPr>
                <w:t>4</w:t>
              </w:r>
              <w:r>
                <w:rPr>
                  <w:sz w:val="24"/>
                  <w:szCs w:val="24"/>
                </w:rPr>
                <w:t>0 мм</w:t>
              </w:r>
            </w:smartTag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≈</w:t>
            </w:r>
            <w:r>
              <w:rPr>
                <w:sz w:val="24"/>
                <w:szCs w:val="24"/>
              </w:rPr>
              <w:t xml:space="preserve"> 90°</w:t>
            </w:r>
          </w:p>
        </w:tc>
      </w:tr>
    </w:tbl>
    <w:p w:rsidR="00000000" w:rsidRDefault="00B53753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Б.3.4.2 Схемы намагничивания, рекомендуемые при проведении МПК угловых сварных соединений патрубков, штуцеров и люков с корпусом сосуда, показаны на рисунке Б.6 (при этом </w:t>
      </w:r>
      <w:smartTag w:uri="urn:schemas-microsoft-com:office:smarttags" w:element="metricconverter">
        <w:smartTagPr>
          <w:attr w:name="ProductID" w:val="100 мм"/>
        </w:smartTagPr>
        <w:r>
          <w:rPr>
            <w:sz w:val="24"/>
            <w:szCs w:val="24"/>
          </w:rPr>
          <w:t>100 мм</w:t>
        </w:r>
      </w:smartTag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≤</w:t>
      </w:r>
      <w:r>
        <w:rPr>
          <w:sz w:val="24"/>
          <w:szCs w:val="24"/>
        </w:rPr>
        <w:t xml:space="preserve"> а </w:t>
      </w:r>
      <w:r>
        <w:rPr>
          <w:sz w:val="24"/>
          <w:szCs w:val="24"/>
        </w:rPr>
        <w:t>≤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50 мм"/>
        </w:smartTagPr>
        <w:r>
          <w:rPr>
            <w:sz w:val="24"/>
            <w:szCs w:val="24"/>
          </w:rPr>
          <w:t>250 мм</w:t>
        </w:r>
      </w:smartTag>
      <w:r>
        <w:rPr>
          <w:sz w:val="24"/>
          <w:szCs w:val="24"/>
        </w:rPr>
        <w:t>).</w:t>
      </w:r>
    </w:p>
    <w:p w:rsidR="00000000" w:rsidRDefault="00B53753">
      <w:pPr>
        <w:spacing w:before="120" w:after="1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459480" cy="406146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53753">
      <w:pPr>
        <w:shd w:val="clear" w:color="auto" w:fill="FFFFFF"/>
        <w:spacing w:before="120" w:after="120"/>
        <w:jc w:val="center"/>
        <w:rPr>
          <w:b/>
        </w:rPr>
      </w:pPr>
      <w:r>
        <w:rPr>
          <w:b/>
        </w:rPr>
        <w:t>Рисунок Б.6 - Схемы намагничивания при проведении МПК угловых сварных соединений патрубков, штуцеров и люков с корпусом сосуда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Б.3.5 Проверка качества намагниченности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Качество намагниченности контролируемого </w:t>
      </w:r>
      <w:r>
        <w:rPr>
          <w:sz w:val="24"/>
          <w:szCs w:val="24"/>
        </w:rPr>
        <w:t xml:space="preserve">участка проводится с использованием эталона Бертольда по технологии </w:t>
      </w:r>
      <w:hyperlink w:anchor="п_2_5" w:tooltip="Б.2.5 Проверку качества магнитного индикатора с применением эталонов Бертольда следует проводить непосредственно на контролируемой поверхности в приложенном поле по следующей технологии:" w:history="1">
        <w:r>
          <w:rPr>
            <w:rStyle w:val="a3"/>
            <w:sz w:val="24"/>
            <w:szCs w:val="24"/>
          </w:rPr>
          <w:t>Б.2.5</w:t>
        </w:r>
      </w:hyperlink>
      <w:r>
        <w:rPr>
          <w:sz w:val="24"/>
          <w:szCs w:val="24"/>
        </w:rPr>
        <w:t>. Если на поверхности эталона появился индикаторный рисунок и отсутствует фон из осевших частиц порошка, то деталь намагничена качественно и компоненты магнитного индикатора подобраны правильно.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появления на по</w:t>
      </w:r>
      <w:r>
        <w:rPr>
          <w:sz w:val="24"/>
          <w:szCs w:val="24"/>
        </w:rPr>
        <w:t xml:space="preserve">верхности эталона значительного фона из частиц осевшего порошка необходимо изменить интенсивность магнитного поля (например, применить немагнитные прокладки, увеличивающие зазор между полюсами намагничивающего устройства и контролируемой поверхностью) или </w:t>
      </w:r>
      <w:r>
        <w:rPr>
          <w:sz w:val="24"/>
          <w:szCs w:val="24"/>
        </w:rPr>
        <w:t>поменять магнитный индикатор (изменить дисперсионную среду или концентрацию магнитного порошка). После этого проверку необходимо повторить.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Проверку качества намагниченности при контроле протяженных сварных швов допускается проводить только на первом из ко</w:t>
      </w:r>
      <w:r>
        <w:rPr>
          <w:sz w:val="24"/>
          <w:szCs w:val="24"/>
        </w:rPr>
        <w:t>нтролируемых участков.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Б.3.6 Нанесение магнитного индикатора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Нанесение магнитного индикатора при проверке намагниченности и последующем контроле участков рекомендуется проводить после нанесения контрастной краски путем распыления с использованием пульвериз</w:t>
      </w:r>
      <w:r>
        <w:rPr>
          <w:sz w:val="24"/>
          <w:szCs w:val="24"/>
        </w:rPr>
        <w:t>атора или аэрозольного баллона. Нанесение суспензии рекомендуется выполнять капельным способом таким образом, чтобы суспензия медленно стекала в контролируемую зону.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Б.3.7 Осмотр контролируемой поверхности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Визуальный контроль следует </w:t>
      </w:r>
      <w:r>
        <w:rPr>
          <w:bCs/>
          <w:sz w:val="24"/>
          <w:szCs w:val="24"/>
        </w:rPr>
        <w:t xml:space="preserve">проводить </w:t>
      </w:r>
      <w:r>
        <w:rPr>
          <w:sz w:val="24"/>
          <w:szCs w:val="24"/>
        </w:rPr>
        <w:t>в приложенно</w:t>
      </w:r>
      <w:r>
        <w:rPr>
          <w:sz w:val="24"/>
          <w:szCs w:val="24"/>
        </w:rPr>
        <w:t xml:space="preserve">м магнитном поле не ранее чем через 20 с после нанесения магнитного индикатора. При необходимости следует использовать лупы от четырех- до десятикратного увеличения и осветительные приборы. Освещенность контролируемой поверхности должна быть не менее 1000 </w:t>
      </w:r>
      <w:r>
        <w:rPr>
          <w:sz w:val="24"/>
          <w:szCs w:val="24"/>
        </w:rPr>
        <w:t>лк.</w:t>
      </w:r>
    </w:p>
    <w:p w:rsidR="00000000" w:rsidRDefault="00B53753">
      <w:pPr>
        <w:shd w:val="clear" w:color="auto" w:fill="FFFFFF"/>
        <w:ind w:firstLine="284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Б.4 Расшифровка и анализ результатов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Б.4.1 При оседании магнитного порошка на поверхности контролируемого участка могут образовываться индикаторные рисунки, по которым судят о наличии и характере дефекта.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Б.4.2 Четкие, резко очерченные линии </w:t>
      </w:r>
      <w:r>
        <w:rPr>
          <w:sz w:val="24"/>
          <w:szCs w:val="24"/>
        </w:rPr>
        <w:t>индикаторного рисунка соответствуют дефектам, выходящим на поверхность и расположенным под углом от 60° до 90° по отношению к направлению силовых линий магнитного поля. Индикаторный рисунок в виде нечетких или размытых линий характерен для дефектов, направ</w:t>
      </w:r>
      <w:r>
        <w:rPr>
          <w:sz w:val="24"/>
          <w:szCs w:val="24"/>
        </w:rPr>
        <w:t xml:space="preserve">ление развития которых составляет угол от 30° до 60° по отношению к направлению магнитного поля или для дефектов, залегающих под поверхностью контроля на глубине до </w:t>
      </w:r>
      <w:smartTag w:uri="urn:schemas-microsoft-com:office:smarttags" w:element="metricconverter">
        <w:smartTagPr>
          <w:attr w:name="ProductID" w:val="3 мм"/>
        </w:smartTagPr>
        <w:r>
          <w:rPr>
            <w:sz w:val="24"/>
            <w:szCs w:val="24"/>
          </w:rPr>
          <w:t>3 мм</w:t>
        </w:r>
      </w:smartTag>
      <w:r>
        <w:rPr>
          <w:sz w:val="24"/>
          <w:szCs w:val="24"/>
        </w:rPr>
        <w:t>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Б.4.3 Ориентация и протяженность линий индикаторного рисунка соответствуют ориентации</w:t>
      </w:r>
      <w:r>
        <w:rPr>
          <w:sz w:val="24"/>
          <w:szCs w:val="24"/>
        </w:rPr>
        <w:t xml:space="preserve"> и протяженности обнаруженного дефекта.</w:t>
      </w:r>
    </w:p>
    <w:p w:rsidR="00000000" w:rsidRDefault="00B53753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Б.4.4 Основные виды и отличительные признаки наиболее характерных дефектов, выявляемых при МПК, приведены в таблице Б.3.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Б.3 - Основные виды и отличительные признаки дефектов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5"/>
        <w:gridCol w:w="7766"/>
      </w:tblGrid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Тип дефекта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Характеристика осажда</w:t>
            </w:r>
            <w:r>
              <w:t>емости магнитного порошка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Трещины сварочные, усталостные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Четкие ломаные и/или ветвистые линии с резкими границами и плотным осаждением. Основным отличием индикаторного рисунка, создаваемого трещиной, является возможность его стирания и восстановление рису</w:t>
            </w:r>
            <w:r>
              <w:t>нка при повторном нанесении магнитной суспензии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Коррозионное растрескивание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Сетка или скопления тонких черточек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Волосовины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Прямые или слегка изогнутые в большинстве случаев нечеткие тонкие линии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Флокены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Четкие и резкие короткие черточки, иногда искривленные, расположенные группами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Закаты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Плавно изогнутые, нечеткие линии</w:t>
            </w:r>
          </w:p>
        </w:tc>
      </w:tr>
      <w:tr w:rsidR="00000000">
        <w:trPr>
          <w:jc w:val="center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Поры, точечные дефекты</w:t>
            </w:r>
          </w:p>
        </w:tc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ind w:firstLine="284"/>
              <w:jc w:val="both"/>
            </w:pPr>
            <w:r>
              <w:t>Короткие полоски порошка, направление которых перпендикулярно направлению намагничивания</w:t>
            </w:r>
          </w:p>
        </w:tc>
      </w:tr>
    </w:tbl>
    <w:p w:rsidR="00000000" w:rsidRDefault="00B53753">
      <w:pPr>
        <w:shd w:val="clear" w:color="auto" w:fill="FFFFFF"/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Б.4.5 При расшифровке </w:t>
      </w:r>
      <w:r>
        <w:rPr>
          <w:sz w:val="24"/>
          <w:szCs w:val="24"/>
        </w:rPr>
        <w:t>индикаторных рисунков следует учитывать, что осаждение порошка может происходить в местах отсутствия дефектов (мнимые дефекты). Основные виды мнимых дефектов, их отличительные признаки и способы их распознавания приведены в таблице Б.4.</w:t>
      </w:r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Б.4 - Основ</w:t>
      </w:r>
      <w:r>
        <w:rPr>
          <w:sz w:val="24"/>
          <w:szCs w:val="24"/>
        </w:rPr>
        <w:t>ные виды и отличительные признаки мнимых дефектов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2"/>
        <w:gridCol w:w="2238"/>
        <w:gridCol w:w="2966"/>
        <w:gridCol w:w="3155"/>
      </w:tblGrid>
      <w:tr w:rsidR="00000000">
        <w:trPr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Мнимый дефект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Вид индикаторного рисунка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Способ распознавания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Отличительные признаки</w:t>
            </w:r>
          </w:p>
        </w:tc>
      </w:tr>
      <w:tr w:rsidR="00000000">
        <w:trPr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Риска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Осаждение порошка в виде плотного валика с нечеткими границами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86"/>
              <w:jc w:val="both"/>
            </w:pPr>
            <w:r>
              <w:t>а) визуальный контроль с использованием лупы и источника освещения;</w:t>
            </w:r>
          </w:p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86"/>
              <w:jc w:val="both"/>
            </w:pPr>
            <w:r>
              <w:t>б) нанесение магнитного индикатора, отстоявшегося в течение 3-5 минут после перемешивания;</w:t>
            </w:r>
          </w:p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86"/>
              <w:jc w:val="both"/>
            </w:pPr>
            <w:r>
              <w:t>в) удаление риски зашлифовкой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86"/>
              <w:jc w:val="both"/>
            </w:pPr>
            <w:r>
              <w:t>Риска видна при боковом освещении на чистой поверхности. При отсутс</w:t>
            </w:r>
            <w:r>
              <w:t>твии дефекта в риске порошок осаждается в виде отдельных цепочек; при наличии дефекта в риске порошок осаждается сразу по всей длине дефекта</w:t>
            </w:r>
          </w:p>
        </w:tc>
      </w:tr>
      <w:tr w:rsidR="00000000">
        <w:trPr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Забоины и наклеп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Слабый, размытый индикаторный рисунок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86"/>
              <w:jc w:val="both"/>
            </w:pPr>
            <w:r>
              <w:t>а) визуальный контроль на предмет наличия забоин;</w:t>
            </w:r>
          </w:p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86"/>
              <w:jc w:val="both"/>
            </w:pPr>
            <w:r>
              <w:t>б) повторное нанесение магнитного индикатора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86"/>
              <w:jc w:val="both"/>
            </w:pPr>
            <w:r>
              <w:t>Забоины хорошо видны при визуальном контроле. При повторном нанесении индикатора первичный индикаторный рисунок легко смывается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spacing w:before="120" w:after="120"/>
              <w:jc w:val="center"/>
              <w:rPr>
                <w:i/>
              </w:rPr>
            </w:pPr>
            <w:r>
              <w:rPr>
                <w:i/>
                <w:iCs/>
              </w:rPr>
              <w:t>Граница раздела участков контролируемой зоны с различными магнитными свойствами</w:t>
            </w:r>
          </w:p>
        </w:tc>
      </w:tr>
      <w:tr w:rsidR="00000000">
        <w:trPr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Зона термического влияния сварки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t>Рисунок в виде неплотных размытых полосок в околошовной зоне, повторяющий форму границы сварного шва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t>Повторное нанесение магнитного индикатора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t>Первичный рисунок легко смывается</w:t>
            </w:r>
          </w:p>
        </w:tc>
      </w:tr>
      <w:tr w:rsidR="00000000">
        <w:trPr>
          <w:jc w:val="center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jc w:val="center"/>
            </w:pPr>
            <w:r>
              <w:t>Граница сварного шва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77"/>
              <w:jc w:val="both"/>
            </w:pPr>
            <w:r>
              <w:t>а) нечеткие линии в месте перехода валика шва к основному металлу;</w:t>
            </w:r>
          </w:p>
          <w:p w:rsidR="00000000" w:rsidRDefault="00B53753">
            <w:pPr>
              <w:shd w:val="clear" w:color="auto" w:fill="FFFFFF"/>
              <w:tabs>
                <w:tab w:val="left" w:pos="264"/>
              </w:tabs>
              <w:ind w:firstLine="277"/>
              <w:jc w:val="both"/>
            </w:pPr>
            <w:r>
              <w:lastRenderedPageBreak/>
              <w:t>б) более четкие, чем в а), линии в месте перехода валика шва к основному металлу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lastRenderedPageBreak/>
              <w:t>Сглаживание мест перехода и повторный контроль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t>При отсутствии дефекта повторного осаждения порошка не происх</w:t>
            </w:r>
            <w:r>
              <w:t>одит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t xml:space="preserve">Проверка магнитных свойств </w:t>
            </w:r>
            <w:r>
              <w:lastRenderedPageBreak/>
              <w:t>шва с использованием постоянного магнита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77"/>
              <w:jc w:val="both"/>
            </w:pPr>
            <w:r>
              <w:lastRenderedPageBreak/>
              <w:t xml:space="preserve">Сварной шов, сваренный </w:t>
            </w:r>
            <w:r>
              <w:lastRenderedPageBreak/>
              <w:t>немагнитным электродом, не притягивает постоянный магнит</w:t>
            </w:r>
          </w:p>
        </w:tc>
      </w:tr>
    </w:tbl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15" w:name="_Приложение_В_(обязательное)_Размерн"/>
      <w:bookmarkStart w:id="16" w:name="_Приложение_В_(обязательное)"/>
      <w:bookmarkStart w:id="17" w:name="_Toc286327368"/>
      <w:bookmarkEnd w:id="15"/>
      <w:bookmarkEnd w:id="16"/>
      <w:r>
        <w:rPr>
          <w:rFonts w:ascii="Times New Roman" w:eastAsia="Times New Roman" w:hAnsi="Times New Roman"/>
          <w:bCs w:val="0"/>
          <w:sz w:val="24"/>
          <w:szCs w:val="24"/>
        </w:rPr>
        <w:lastRenderedPageBreak/>
        <w:t>Приложение В</w:t>
      </w:r>
      <w:r>
        <w:rPr>
          <w:rFonts w:ascii="Times New Roman" w:eastAsia="Times New Roman" w:hAnsi="Times New Roman"/>
          <w:bCs w:val="0"/>
          <w:sz w:val="24"/>
          <w:szCs w:val="24"/>
        </w:rPr>
        <w:br/>
        <w:t>(обязательное)</w:t>
      </w:r>
      <w:r>
        <w:rPr>
          <w:rFonts w:ascii="Times New Roman" w:eastAsia="Times New Roman" w:hAnsi="Times New Roman"/>
          <w:bCs w:val="0"/>
          <w:sz w:val="24"/>
          <w:szCs w:val="24"/>
        </w:rPr>
        <w:br/>
      </w:r>
      <w:r>
        <w:rPr>
          <w:rFonts w:ascii="Times New Roman" w:eastAsia="Times New Roman" w:hAnsi="Times New Roman"/>
          <w:bCs w:val="0"/>
          <w:sz w:val="24"/>
          <w:szCs w:val="24"/>
        </w:rPr>
        <w:t>Размерные показатели дефектов для норм оценки качества* по результатам неразрушающего контроля основного металла и сварных соединений сосудов</w:t>
      </w:r>
      <w:bookmarkEnd w:id="17"/>
    </w:p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Таблица В. 1 - Дефекты поверхности и подповерхностные дефекты основного металла и сварных соединений сосудов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77"/>
        <w:gridCol w:w="2398"/>
        <w:gridCol w:w="2408"/>
        <w:gridCol w:w="2448"/>
      </w:tblGrid>
      <w:tr w:rsidR="00000000">
        <w:trPr>
          <w:jc w:val="center"/>
        </w:trPr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 xml:space="preserve">Виды </w:t>
            </w:r>
            <w:r>
              <w:t>дефектов</w:t>
            </w:r>
          </w:p>
        </w:tc>
        <w:tc>
          <w:tcPr>
            <w:tcW w:w="3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Параметры дефектов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Номинальная толщина наиболее тонкой детали,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Допустимый максимальный размер дефекта, мм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 xml:space="preserve">Допустимое число дефектов на любые </w:t>
            </w:r>
            <w:smartTag w:uri="urn:schemas-microsoft-com:office:smarttags" w:element="metricconverter">
              <w:smartTagPr>
                <w:attr w:name="ProductID" w:val="100 мм"/>
              </w:smartTagPr>
              <w:r>
                <w:t>100 мм</w:t>
              </w:r>
            </w:smartTag>
            <w:r>
              <w:t xml:space="preserve"> шва</w:t>
            </w:r>
          </w:p>
        </w:tc>
      </w:tr>
      <w:tr w:rsidR="00000000">
        <w:trPr>
          <w:jc w:val="center"/>
        </w:trPr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</w:pPr>
            <w:r>
              <w:t>Поры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От 2 до 3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3 до 4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0,6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4 до 5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0,7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5 до 6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0,8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6 до 8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1,0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8 до 10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10 до 15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1,5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15 до 20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2,0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20 до 40 включ.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2,5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</w:pPr>
            <w:r>
              <w:t>Свыше 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2,5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</w:pPr>
            <w:r>
              <w:t>Подрезы</w:t>
            </w:r>
          </w:p>
        </w:tc>
        <w:tc>
          <w:tcPr>
            <w:tcW w:w="3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ind w:firstLine="295"/>
              <w:jc w:val="both"/>
            </w:pPr>
            <w:r>
              <w:t xml:space="preserve">Допускаются подрезы глубиной не более 5 % толщины стенки, но не более </w:t>
            </w:r>
            <w:smartTag w:uri="urn:schemas-microsoft-com:office:smarttags" w:element="metricconverter">
              <w:smartTagPr>
                <w:attr w:name="ProductID" w:val="0,5 мм"/>
              </w:smartTagPr>
              <w:r>
                <w:t>0,5 мм</w:t>
              </w:r>
            </w:smartTag>
            <w:r>
              <w:t>, протяженностью не более 10 % длины шва</w:t>
            </w: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pPr>
              <w:shd w:val="clear" w:color="auto" w:fill="FFFFFF"/>
            </w:pPr>
            <w:r>
              <w:t>Трещины всех видов и направлений</w:t>
            </w:r>
          </w:p>
        </w:tc>
        <w:tc>
          <w:tcPr>
            <w:tcW w:w="37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53753">
            <w:pPr>
              <w:shd w:val="clear" w:color="auto" w:fill="FFFFFF"/>
              <w:jc w:val="center"/>
            </w:pPr>
            <w:r>
              <w:t>Не допускаются</w:t>
            </w: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Закаты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Плены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Забоины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Вмятины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Шлаковые включения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Кратеры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Свищи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Волосовины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  <w:tr w:rsidR="00000000">
        <w:trPr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B53753">
            <w:r>
              <w:t>Флокены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53753">
            <w:pPr>
              <w:widowControl/>
              <w:autoSpaceDE/>
              <w:autoSpaceDN/>
              <w:adjustRightInd/>
            </w:pPr>
          </w:p>
        </w:tc>
      </w:tr>
    </w:tbl>
    <w:p w:rsidR="00000000" w:rsidRDefault="00B53753">
      <w:pPr>
        <w:shd w:val="clear" w:color="auto" w:fill="FFFFFF"/>
        <w:spacing w:before="120" w:after="120"/>
        <w:ind w:firstLine="284"/>
        <w:jc w:val="both"/>
      </w:pPr>
      <w:r>
        <w:t xml:space="preserve">* Данные из </w:t>
      </w:r>
      <w:hyperlink r:id="rId42" w:tooltip="Прокат листовой из углеродистой, низколегированной и легированной стали для котлов и сосудов, работающих под давлением. Технические условия" w:history="1">
        <w:r>
          <w:rPr>
            <w:rStyle w:val="a3"/>
          </w:rPr>
          <w:t>ГОСТ 5520</w:t>
        </w:r>
      </w:hyperlink>
      <w:r>
        <w:t xml:space="preserve">, </w:t>
      </w:r>
      <w:hyperlink r:id="rId43" w:tooltip="Сосуды и аппараты стальные сварные. Общие технические условия" w:history="1">
        <w:r>
          <w:rPr>
            <w:rStyle w:val="a3"/>
          </w:rPr>
          <w:t>ОСТ 26 291</w:t>
        </w:r>
      </w:hyperlink>
      <w:r>
        <w:t xml:space="preserve">, </w:t>
      </w:r>
      <w:hyperlink r:id="rId44" w:tooltip="Правила устройства и безопасной эксплуатации сосудов, работающих под давлением" w:history="1">
        <w:r>
          <w:rPr>
            <w:rStyle w:val="a3"/>
          </w:rPr>
          <w:t>ПБ 03-576-03</w:t>
        </w:r>
      </w:hyperlink>
      <w:r>
        <w:t xml:space="preserve"> </w:t>
      </w:r>
      <w:hyperlink w:anchor="б_1" w:tooltip="Правила устройства и безопасной эксплуатации сосудов, работающих под давлением" w:history="1">
        <w:r>
          <w:rPr>
            <w:rStyle w:val="a3"/>
          </w:rPr>
          <w:t>[1]</w:t>
        </w:r>
      </w:hyperlink>
      <w:r>
        <w:t xml:space="preserve"> и </w:t>
      </w:r>
      <w:hyperlink r:id="rId45" w:tooltip="Правила проектирования, изготовления и приемки сосудов и аппаратов стальных сварных" w:history="1">
        <w:r>
          <w:rPr>
            <w:rStyle w:val="a3"/>
          </w:rPr>
          <w:t>ПБ 03-584-03</w:t>
        </w:r>
      </w:hyperlink>
      <w:r>
        <w:t xml:space="preserve"> </w:t>
      </w:r>
      <w:hyperlink w:anchor="б_6" w:tooltip="Правила проектирования, изготовления и приемки сосудов и аппаратов стальных сварных" w:history="1">
        <w:r>
          <w:rPr>
            <w:rStyle w:val="a3"/>
          </w:rPr>
          <w:t>[6]</w:t>
        </w:r>
      </w:hyperlink>
      <w:r>
        <w:t>.</w:t>
      </w:r>
    </w:p>
    <w:p w:rsidR="00000000" w:rsidRDefault="00B53753">
      <w:pPr>
        <w:pStyle w:val="1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  <w:bookmarkStart w:id="18" w:name="_Toc286327369"/>
      <w:r>
        <w:rPr>
          <w:rFonts w:ascii="Times New Roman" w:eastAsia="Times New Roman" w:hAnsi="Times New Roman"/>
          <w:bCs w:val="0"/>
          <w:sz w:val="24"/>
          <w:szCs w:val="24"/>
        </w:rPr>
        <w:t>Библиография</w:t>
      </w:r>
      <w:bookmarkEnd w:id="18"/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3"/>
        <w:gridCol w:w="2811"/>
        <w:gridCol w:w="420"/>
        <w:gridCol w:w="5947"/>
      </w:tblGrid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[1]</w:t>
            </w:r>
            <w:bookmarkStart w:id="19" w:name="б_1"/>
            <w:bookmarkEnd w:id="19"/>
          </w:p>
        </w:tc>
        <w:tc>
          <w:tcPr>
            <w:tcW w:w="1676" w:type="pct"/>
            <w:gridSpan w:val="2"/>
            <w:shd w:val="clear" w:color="auto" w:fill="FFFFFF"/>
            <w:hideMark/>
          </w:tcPr>
          <w:p w:rsidR="00000000" w:rsidRDefault="00B53753">
            <w:pPr>
              <w:pStyle w:val="3"/>
            </w:pPr>
            <w:r>
              <w:t>Правила устройства и безопасной эксплуатации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46" w:tooltip="Правила устройства и безопасной эксплуатации сосудов, работающих под давлением" w:history="1">
              <w:r>
                <w:rPr>
                  <w:rStyle w:val="a3"/>
                  <w:sz w:val="24"/>
                  <w:szCs w:val="24"/>
                </w:rPr>
                <w:t>ПБ 03</w:t>
              </w:r>
              <w:r>
                <w:rPr>
                  <w:rStyle w:val="a3"/>
                  <w:sz w:val="24"/>
                  <w:szCs w:val="24"/>
                </w:rPr>
                <w:t>-576-03</w:t>
              </w:r>
            </w:hyperlink>
          </w:p>
        </w:tc>
        <w:tc>
          <w:tcPr>
            <w:tcW w:w="3084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и безопасной эксплуатации сосудов, работающих под давлением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[2]</w:t>
            </w:r>
            <w:bookmarkStart w:id="20" w:name="б_2"/>
            <w:bookmarkEnd w:id="20"/>
          </w:p>
        </w:tc>
        <w:tc>
          <w:tcPr>
            <w:tcW w:w="4760" w:type="pct"/>
            <w:gridSpan w:val="3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Временная методика «Экспертное техническое диагностирование сосудов, работающих под давлением на компрессорных и </w:t>
            </w:r>
            <w:r>
              <w:rPr>
                <w:sz w:val="24"/>
                <w:szCs w:val="24"/>
              </w:rPr>
              <w:t xml:space="preserve">газораспределительных станциях. Оценка технического состояния и возможности дальнейшей эксплуатации» (утверждена ОАО «Газпром» 25 апреля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4"/>
                  <w:szCs w:val="24"/>
                </w:rPr>
                <w:t>2005 г</w:t>
              </w:r>
            </w:smartTag>
            <w:r>
              <w:rPr>
                <w:sz w:val="24"/>
                <w:szCs w:val="24"/>
              </w:rPr>
              <w:t>.)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[3]</w:t>
            </w:r>
            <w:bookmarkStart w:id="21" w:name="б_3"/>
            <w:bookmarkEnd w:id="21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аттестации и основные требования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47" w:tooltip="'Правила аттестации и основные требования к лабораториям неразрушающего контроля" w:history="1">
              <w:r>
                <w:rPr>
                  <w:rStyle w:val="a3"/>
                  <w:sz w:val="24"/>
                  <w:szCs w:val="24"/>
                </w:rPr>
                <w:t>ПБ 03-372-00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аттестации и основные требования к лабораториям неразрушающего контроля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[4]</w:t>
            </w:r>
            <w:bookmarkStart w:id="22" w:name="б_4"/>
            <w:bookmarkEnd w:id="22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аттестации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48" w:tooltip="Правила аттестации персонала в области неразрушающего контроля" w:history="1">
              <w:r>
                <w:rPr>
                  <w:rStyle w:val="a3"/>
                  <w:sz w:val="24"/>
                  <w:szCs w:val="24"/>
                </w:rPr>
                <w:t>ПБ 03-440-02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аттестации персонала в области неразрушающего контроля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[5]</w:t>
            </w:r>
            <w:bookmarkStart w:id="23" w:name="б_5"/>
            <w:bookmarkEnd w:id="23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 (методические рекомендации)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49" w:tooltip="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" w:history="1">
              <w:r>
                <w:rPr>
                  <w:rStyle w:val="a3"/>
                  <w:sz w:val="24"/>
                  <w:szCs w:val="24"/>
                </w:rPr>
                <w:t>РД 13-05-2006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Методические рекомендации о порядке проведения магнитопорошкового контроля технических устройств и сооружений, применяемых и эксплуатируемых на опасных </w:t>
            </w:r>
            <w:r>
              <w:rPr>
                <w:sz w:val="24"/>
                <w:szCs w:val="24"/>
              </w:rPr>
              <w:lastRenderedPageBreak/>
              <w:t>производственных объектах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[6]</w:t>
            </w:r>
            <w:bookmarkStart w:id="24" w:name="б_6"/>
            <w:bookmarkEnd w:id="24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проектирования, изготовления и приемки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50" w:tooltip="Правила проектирования, изготовления и приемки сосудов и аппаратов стальных сварных" w:history="1">
              <w:r>
                <w:rPr>
                  <w:rStyle w:val="a3"/>
                  <w:sz w:val="24"/>
                  <w:szCs w:val="24"/>
                </w:rPr>
                <w:t>ПБ 03-584-03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проектирования, изготовления и приемки сосудов и аппаратов стальных сварных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[7]</w:t>
            </w:r>
            <w:bookmarkStart w:id="25" w:name="б_7"/>
            <w:bookmarkEnd w:id="25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51" w:tooltip="Межотраслевые правила по охране труда при работе на высоте" w:history="1">
              <w:r>
                <w:rPr>
                  <w:rStyle w:val="a3"/>
                  <w:sz w:val="24"/>
                  <w:szCs w:val="24"/>
                </w:rPr>
                <w:t>ПОТ Р М-012-2000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Межотраслевые правила по охране труда при работе на высоте</w:t>
            </w:r>
          </w:p>
        </w:tc>
      </w:tr>
      <w:tr w:rsidR="00000000">
        <w:trPr>
          <w:jc w:val="center"/>
        </w:trPr>
        <w:tc>
          <w:tcPr>
            <w:tcW w:w="240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[8]</w:t>
            </w:r>
            <w:bookmarkStart w:id="26" w:name="б_8"/>
            <w:bookmarkEnd w:id="26"/>
          </w:p>
        </w:tc>
        <w:tc>
          <w:tcPr>
            <w:tcW w:w="1458" w:type="pct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hyperlink r:id="rId52" w:tooltip="Инструкция по визуальному и измерительному контролю" w:history="1">
              <w:r>
                <w:rPr>
                  <w:rStyle w:val="a3"/>
                  <w:sz w:val="24"/>
                  <w:szCs w:val="24"/>
                </w:rPr>
                <w:t>РД 03-606-03</w:t>
              </w:r>
            </w:hyperlink>
          </w:p>
        </w:tc>
        <w:tc>
          <w:tcPr>
            <w:tcW w:w="3302" w:type="pct"/>
            <w:gridSpan w:val="2"/>
            <w:shd w:val="clear" w:color="auto" w:fill="FFFFFF"/>
            <w:hideMark/>
          </w:tcPr>
          <w:p w:rsidR="00000000" w:rsidRDefault="00B537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визуальному и измерительному контролю</w:t>
            </w:r>
          </w:p>
        </w:tc>
      </w:tr>
    </w:tbl>
    <w:p w:rsidR="00000000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Ключевые слова</w:t>
      </w:r>
      <w:r>
        <w:rPr>
          <w:sz w:val="24"/>
          <w:szCs w:val="24"/>
        </w:rPr>
        <w:t>: магнитопорошковый неразрушающий контроль, сосуды, работающие под давлением</w:t>
      </w:r>
    </w:p>
    <w:p w:rsidR="00B53753" w:rsidRDefault="00B53753">
      <w:pPr>
        <w:shd w:val="clear" w:color="auto" w:fill="FFFFFF"/>
        <w:spacing w:before="120" w:after="120"/>
        <w:ind w:firstLine="284"/>
        <w:jc w:val="both"/>
        <w:rPr>
          <w:sz w:val="24"/>
          <w:szCs w:val="24"/>
        </w:rPr>
      </w:pPr>
    </w:p>
    <w:sectPr w:rsidR="00B53753">
      <w:pgSz w:w="11909" w:h="16834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67FC"/>
    <w:rsid w:val="001367FC"/>
    <w:rsid w:val="00B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E6902-A2C4-412C-A26B-427EA05E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semiHidden/>
    <w:unhideWhenUsed/>
  </w:style>
  <w:style w:type="paragraph" w:styleId="a5">
    <w:name w:val="Body Text"/>
    <w:basedOn w:val="a"/>
    <w:link w:val="a6"/>
    <w:semiHidden/>
    <w:unhideWhenUsed/>
    <w:pPr>
      <w:shd w:val="clear" w:color="auto" w:fill="FFFFFF"/>
      <w:spacing w:before="120" w:after="120"/>
      <w:jc w:val="center"/>
    </w:pPr>
    <w:rPr>
      <w:b/>
      <w:sz w:val="24"/>
      <w:szCs w:val="24"/>
    </w:rPr>
  </w:style>
  <w:style w:type="character" w:customStyle="1" w:styleId="a6">
    <w:name w:val="Основной текст Знак"/>
    <w:basedOn w:val="a0"/>
    <w:link w:val="a5"/>
    <w:semiHidden/>
  </w:style>
  <w:style w:type="paragraph" w:styleId="a7">
    <w:name w:val="Body Text Indent"/>
    <w:basedOn w:val="a"/>
    <w:link w:val="a8"/>
    <w:semiHidden/>
    <w:unhideWhenUsed/>
    <w:pPr>
      <w:shd w:val="clear" w:color="auto" w:fill="FFFFFF"/>
      <w:tabs>
        <w:tab w:val="left" w:pos="317"/>
      </w:tabs>
      <w:ind w:firstLine="284"/>
      <w:jc w:val="both"/>
    </w:pPr>
  </w:style>
  <w:style w:type="character" w:customStyle="1" w:styleId="a8">
    <w:name w:val="Основной текст с отступом Знак"/>
    <w:basedOn w:val="a0"/>
    <w:link w:val="a7"/>
    <w:semiHidden/>
  </w:style>
  <w:style w:type="paragraph" w:styleId="2">
    <w:name w:val="Body Text 2"/>
    <w:basedOn w:val="a"/>
    <w:link w:val="20"/>
    <w:semiHidden/>
    <w:unhideWhenUsed/>
    <w:pPr>
      <w:shd w:val="clear" w:color="auto" w:fill="FFFFFF"/>
      <w:spacing w:before="120"/>
      <w:jc w:val="center"/>
    </w:pPr>
    <w:rPr>
      <w:b/>
    </w:rPr>
  </w:style>
  <w:style w:type="character" w:customStyle="1" w:styleId="20">
    <w:name w:val="Основной текст 2 Знак"/>
    <w:basedOn w:val="a0"/>
    <w:link w:val="2"/>
    <w:semiHidden/>
  </w:style>
  <w:style w:type="paragraph" w:styleId="3">
    <w:name w:val="Body Text 3"/>
    <w:basedOn w:val="a"/>
    <w:link w:val="30"/>
    <w:semiHidden/>
    <w:unhideWhenUsed/>
    <w:pPr>
      <w:shd w:val="clear" w:color="auto" w:fill="FFFFFF"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haura\AppData\Local\Temp\data\docs\system\59075\7494.htm" TargetMode="External"/><Relationship Id="rId18" Type="http://schemas.openxmlformats.org/officeDocument/2006/relationships/hyperlink" Target="file:///C:\Users\shaura\AppData\Local\Temp\data\docs\system\59075\7361.htm" TargetMode="External"/><Relationship Id="rId26" Type="http://schemas.openxmlformats.org/officeDocument/2006/relationships/hyperlink" Target="file:///C:\Users\shaura\AppData\Local\Temp\data\docs\system\59075\38745.htm" TargetMode="External"/><Relationship Id="rId39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file:///C:\Users\shaura\AppData\Local\Temp\data\docs\system\59075\38745.htm" TargetMode="External"/><Relationship Id="rId34" Type="http://schemas.openxmlformats.org/officeDocument/2006/relationships/hyperlink" Target="file:///C:\Users\shaura\AppData\Local\Temp\data\docs\system\59075\38745.htm" TargetMode="External"/><Relationship Id="rId42" Type="http://schemas.openxmlformats.org/officeDocument/2006/relationships/hyperlink" Target="file:///C:\Users\shaura\AppData\Local\Temp\data\docs\system\59075\2817.htm" TargetMode="External"/><Relationship Id="rId47" Type="http://schemas.openxmlformats.org/officeDocument/2006/relationships/hyperlink" Target="file:///C:\Users\shaura\AppData\Local\Temp\data\docs\system\59075\7494.htm" TargetMode="External"/><Relationship Id="rId50" Type="http://schemas.openxmlformats.org/officeDocument/2006/relationships/hyperlink" Target="file:///C:\Users\shaura\AppData\Local\Temp\data\docs\system\59075\38813.htm" TargetMode="External"/><Relationship Id="rId7" Type="http://schemas.openxmlformats.org/officeDocument/2006/relationships/hyperlink" Target="file:///C:\Users\shaura\AppData\Local\Temp\data\docs\system\59075\8166.htm" TargetMode="External"/><Relationship Id="rId12" Type="http://schemas.openxmlformats.org/officeDocument/2006/relationships/hyperlink" Target="file:///C:\Users\shaura\AppData\Local\Temp\data\docs\system\59075\50394.htm" TargetMode="External"/><Relationship Id="rId17" Type="http://schemas.openxmlformats.org/officeDocument/2006/relationships/hyperlink" Target="file:///C:\Users\shaura\AppData\Local\Temp\data\docs\system\59075\7361.htm" TargetMode="External"/><Relationship Id="rId25" Type="http://schemas.openxmlformats.org/officeDocument/2006/relationships/hyperlink" Target="file:///C:\Users\shaura\AppData\Local\Temp\data\docs\system\59075\50394.htm" TargetMode="External"/><Relationship Id="rId33" Type="http://schemas.openxmlformats.org/officeDocument/2006/relationships/hyperlink" Target="file:///C:\Users\shaura\AppData\Local\Temp\data\docs\system\59075\8397.htm" TargetMode="External"/><Relationship Id="rId38" Type="http://schemas.openxmlformats.org/officeDocument/2006/relationships/image" Target="media/image5.png"/><Relationship Id="rId46" Type="http://schemas.openxmlformats.org/officeDocument/2006/relationships/hyperlink" Target="file:///C:\Users\shaura\AppData\Local\Temp\data\docs\system\59075\38745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file:///C:\Users\shaura\AppData\Local\Temp\data\docs\system\59075\7361.htm" TargetMode="External"/><Relationship Id="rId29" Type="http://schemas.openxmlformats.org/officeDocument/2006/relationships/hyperlink" Target="file:///C:\Users\shaura\AppData\Local\Temp\data\docs\system\59075\38839.htm" TargetMode="External"/><Relationship Id="rId41" Type="http://schemas.openxmlformats.org/officeDocument/2006/relationships/image" Target="media/image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shaura\AppData\Local\Temp\data\docs\system\59075\2817.htm" TargetMode="External"/><Relationship Id="rId11" Type="http://schemas.openxmlformats.org/officeDocument/2006/relationships/hyperlink" Target="file:///C:\Users\shaura\AppData\Local\Temp\data\docs\system\59075\9306.htm" TargetMode="External"/><Relationship Id="rId24" Type="http://schemas.openxmlformats.org/officeDocument/2006/relationships/hyperlink" Target="file:///C:\Users\shaura\AppData\Local\Temp\data\docs\system\59075\8397.htm" TargetMode="External"/><Relationship Id="rId32" Type="http://schemas.openxmlformats.org/officeDocument/2006/relationships/hyperlink" Target="file:///C:\Users\shaura\AppData\Local\Temp\data\docs\system\59075\24981.htm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7.png"/><Relationship Id="rId45" Type="http://schemas.openxmlformats.org/officeDocument/2006/relationships/hyperlink" Target="file:///C:\Users\shaura\AppData\Local\Temp\data\docs\system\59075\38813.htm" TargetMode="External"/><Relationship Id="rId53" Type="http://schemas.openxmlformats.org/officeDocument/2006/relationships/fontTable" Target="fontTable.xml"/><Relationship Id="rId5" Type="http://schemas.openxmlformats.org/officeDocument/2006/relationships/hyperlink" Target="file:///C:\Users\shaura\AppData\Local\Temp\data\docs\system\59075\9306.htm" TargetMode="External"/><Relationship Id="rId15" Type="http://schemas.openxmlformats.org/officeDocument/2006/relationships/image" Target="media/image1.png"/><Relationship Id="rId23" Type="http://schemas.openxmlformats.org/officeDocument/2006/relationships/hyperlink" Target="file:///C:\Users\shaura\AppData\Local\Temp\data\docs\system\59075\2817.htm" TargetMode="External"/><Relationship Id="rId28" Type="http://schemas.openxmlformats.org/officeDocument/2006/relationships/hyperlink" Target="file:///C:\Users\shaura\AppData\Local\Temp\data\docs\system\59075\38839.htm" TargetMode="External"/><Relationship Id="rId36" Type="http://schemas.openxmlformats.org/officeDocument/2006/relationships/image" Target="media/image3.png"/><Relationship Id="rId49" Type="http://schemas.openxmlformats.org/officeDocument/2006/relationships/hyperlink" Target="file:///C:\Users\shaura\AppData\Local\Temp\data\docs\system\59075\48123.htm" TargetMode="External"/><Relationship Id="rId10" Type="http://schemas.openxmlformats.org/officeDocument/2006/relationships/hyperlink" Target="file:///C:\Users\shaura\AppData\Local\Temp\data\docs\system\59075\8397.htm" TargetMode="External"/><Relationship Id="rId19" Type="http://schemas.openxmlformats.org/officeDocument/2006/relationships/hyperlink" Target="file:///C:\Users\shaura\AppData\Local\Temp\data\docs\system\59075\48123.htm" TargetMode="External"/><Relationship Id="rId31" Type="http://schemas.openxmlformats.org/officeDocument/2006/relationships/hyperlink" Target="file:///C:\Users\shaura\AppData\Local\Temp\data\docs\system\59075\38839.htm" TargetMode="External"/><Relationship Id="rId44" Type="http://schemas.openxmlformats.org/officeDocument/2006/relationships/hyperlink" Target="file:///C:\Users\shaura\AppData\Local\Temp\data\docs\system\59075\38745.htm" TargetMode="External"/><Relationship Id="rId52" Type="http://schemas.openxmlformats.org/officeDocument/2006/relationships/hyperlink" Target="file:///C:\Users\shaura\AppData\Local\Temp\data\docs\system\59075\38839.htm" TargetMode="External"/><Relationship Id="rId4" Type="http://schemas.openxmlformats.org/officeDocument/2006/relationships/hyperlink" Target="file:///C:\Users\shaura\AppData\Local\Temp\data\docs\system\59075\38745.htm" TargetMode="External"/><Relationship Id="rId9" Type="http://schemas.openxmlformats.org/officeDocument/2006/relationships/hyperlink" Target="file:///C:\Users\shaura\AppData\Local\Temp\data\docs\system\59075\24981.htm" TargetMode="External"/><Relationship Id="rId14" Type="http://schemas.openxmlformats.org/officeDocument/2006/relationships/hyperlink" Target="file:///C:\Users\shaura\AppData\Local\Temp\data\docs\system\59075\9803.htm" TargetMode="External"/><Relationship Id="rId22" Type="http://schemas.openxmlformats.org/officeDocument/2006/relationships/hyperlink" Target="file:///C:\Users\shaura\AppData\Local\Temp\data\docs\system\59075\38813.htm" TargetMode="External"/><Relationship Id="rId27" Type="http://schemas.openxmlformats.org/officeDocument/2006/relationships/hyperlink" Target="file:///C:\Users\shaura\AppData\Local\Temp\data\docs\system\59075\41281.htm" TargetMode="External"/><Relationship Id="rId30" Type="http://schemas.openxmlformats.org/officeDocument/2006/relationships/hyperlink" Target="file:///C:\Users\shaura\AppData\Local\Temp\data\docs\system\59075\8166.htm" TargetMode="External"/><Relationship Id="rId35" Type="http://schemas.openxmlformats.org/officeDocument/2006/relationships/hyperlink" Target="file:///C:\Users\shaura\AppData\Local\Temp\data\docs\system\59075\38813.htm" TargetMode="External"/><Relationship Id="rId43" Type="http://schemas.openxmlformats.org/officeDocument/2006/relationships/hyperlink" Target="file:///C:\Users\shaura\AppData\Local\Temp\data\docs\system\59075\8397.htm" TargetMode="External"/><Relationship Id="rId48" Type="http://schemas.openxmlformats.org/officeDocument/2006/relationships/hyperlink" Target="file:///C:\Users\shaura\AppData\Local\Temp\data\docs\system\59075\9803.htm" TargetMode="External"/><Relationship Id="rId8" Type="http://schemas.openxmlformats.org/officeDocument/2006/relationships/hyperlink" Target="file:///C:\Users\shaura\AppData\Local\Temp\data\docs\system\59075\7361.htm" TargetMode="External"/><Relationship Id="rId51" Type="http://schemas.openxmlformats.org/officeDocument/2006/relationships/hyperlink" Target="file:///C:\Users\shaura\AppData\Local\Temp\data\docs\system\59075\41281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6354</Words>
  <Characters>36223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 Газпром 2-2.3-218-2008</vt:lpstr>
    </vt:vector>
  </TitlesOfParts>
  <LinksUpToDate>false</LinksUpToDate>
  <CharactersWithSpaces>42493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 Газпром 2-2.3-218-2008</dc:title>
  <dc:subject/>
  <cp:keywords/>
  <dc:description/>
  <dcterms:created xsi:type="dcterms:W3CDTF">2015-02-14T09:35:00Z</dcterms:created>
  <dcterms:modified xsi:type="dcterms:W3CDTF">2015-02-14T09:35:00Z</dcterms:modified>
</cp:coreProperties>
</file>